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126" w:rsidRDefault="003A3126" w:rsidP="003A3126">
      <w:pPr>
        <w:jc w:val="center"/>
        <w:rPr>
          <w:rFonts w:ascii="Mistral" w:hAnsi="Mistral" w:cs="Tahoma"/>
          <w:b/>
          <w:caps/>
          <w:sz w:val="32"/>
          <w:szCs w:val="32"/>
        </w:rPr>
      </w:pPr>
    </w:p>
    <w:p w:rsidR="00652EED" w:rsidRDefault="00652EED" w:rsidP="003A3126">
      <w:pPr>
        <w:jc w:val="center"/>
        <w:rPr>
          <w:rFonts w:ascii="Mistral" w:hAnsi="Mistral" w:cs="Tahoma"/>
          <w:b/>
          <w:caps/>
          <w:sz w:val="32"/>
          <w:szCs w:val="32"/>
        </w:rPr>
      </w:pPr>
    </w:p>
    <w:p w:rsidR="00FF5748" w:rsidRPr="00523A95" w:rsidRDefault="00FF5748" w:rsidP="003A3126">
      <w:pPr>
        <w:pBdr>
          <w:top w:val="single" w:sz="12" w:space="1" w:color="auto"/>
          <w:left w:val="single" w:sz="12" w:space="4" w:color="auto"/>
          <w:bottom w:val="single" w:sz="12" w:space="1" w:color="auto"/>
          <w:right w:val="single" w:sz="12" w:space="4" w:color="auto"/>
        </w:pBdr>
        <w:jc w:val="center"/>
        <w:rPr>
          <w:rFonts w:ascii="Mistral" w:hAnsi="Mistral"/>
          <w:b/>
          <w:caps/>
          <w:sz w:val="32"/>
          <w:szCs w:val="32"/>
        </w:rPr>
      </w:pPr>
      <w:r w:rsidRPr="00523A95">
        <w:rPr>
          <w:rFonts w:ascii="Mistral" w:hAnsi="Mistral" w:cs="Tahoma"/>
          <w:b/>
          <w:caps/>
          <w:sz w:val="32"/>
          <w:szCs w:val="32"/>
        </w:rPr>
        <w:t xml:space="preserve">expositions itinerantes </w:t>
      </w:r>
      <w:r w:rsidRPr="00523A95">
        <w:rPr>
          <w:rFonts w:ascii="Mistral" w:hAnsi="Mistral"/>
          <w:b/>
          <w:caps/>
          <w:sz w:val="32"/>
          <w:szCs w:val="32"/>
        </w:rPr>
        <w:t xml:space="preserve">mises </w:t>
      </w:r>
      <w:r w:rsidRPr="00523A95">
        <w:rPr>
          <w:rFonts w:ascii="Mistral" w:hAnsi="Mistral"/>
          <w:b/>
          <w:caps/>
          <w:sz w:val="32"/>
          <w:szCs w:val="32"/>
          <w:u w:val="single"/>
        </w:rPr>
        <w:t>gratuitement</w:t>
      </w:r>
      <w:r w:rsidRPr="00523A95">
        <w:rPr>
          <w:rFonts w:ascii="Mistral" w:hAnsi="Mistral"/>
          <w:b/>
          <w:caps/>
          <w:sz w:val="32"/>
          <w:szCs w:val="32"/>
        </w:rPr>
        <w:t xml:space="preserve"> à </w:t>
      </w:r>
      <w:smartTag w:uri="urn:schemas-microsoft-com:office:smarttags" w:element="PersonName">
        <w:smartTagPr>
          <w:attr w:name="ProductID" w:val="LA DISPOSITION"/>
        </w:smartTagPr>
        <w:r w:rsidRPr="00523A95">
          <w:rPr>
            <w:rFonts w:ascii="Mistral" w:hAnsi="Mistral"/>
            <w:b/>
            <w:caps/>
            <w:sz w:val="32"/>
            <w:szCs w:val="32"/>
          </w:rPr>
          <w:t>la disposition</w:t>
        </w:r>
      </w:smartTag>
      <w:r w:rsidRPr="00523A95">
        <w:rPr>
          <w:rFonts w:ascii="Mistral" w:hAnsi="Mistral"/>
          <w:b/>
          <w:caps/>
          <w:sz w:val="32"/>
          <w:szCs w:val="32"/>
        </w:rPr>
        <w:t xml:space="preserve"> </w:t>
      </w:r>
    </w:p>
    <w:p w:rsidR="00FF5748" w:rsidRDefault="00FF5748" w:rsidP="003A3126">
      <w:pPr>
        <w:pBdr>
          <w:top w:val="single" w:sz="12" w:space="1" w:color="auto"/>
          <w:left w:val="single" w:sz="12" w:space="4" w:color="auto"/>
          <w:bottom w:val="single" w:sz="12" w:space="1" w:color="auto"/>
          <w:right w:val="single" w:sz="12" w:space="4" w:color="auto"/>
        </w:pBdr>
        <w:jc w:val="center"/>
        <w:rPr>
          <w:rFonts w:ascii="Mistral" w:hAnsi="Mistral"/>
          <w:b/>
          <w:caps/>
          <w:sz w:val="28"/>
          <w:szCs w:val="28"/>
        </w:rPr>
      </w:pPr>
      <w:r w:rsidRPr="00523A95">
        <w:rPr>
          <w:rFonts w:ascii="Mistral" w:hAnsi="Mistral"/>
          <w:b/>
          <w:caps/>
          <w:sz w:val="32"/>
          <w:szCs w:val="32"/>
        </w:rPr>
        <w:t>des écoles, des communes, des associations et des institutions</w:t>
      </w:r>
    </w:p>
    <w:p w:rsidR="00161A81" w:rsidRDefault="00161A81" w:rsidP="00161A81">
      <w:pPr>
        <w:jc w:val="left"/>
        <w:rPr>
          <w:rFonts w:ascii="Mistral" w:hAnsi="Mistral" w:cs="Tahoma"/>
          <w:b/>
          <w:caps/>
          <w:sz w:val="28"/>
          <w:szCs w:val="28"/>
        </w:rPr>
      </w:pPr>
    </w:p>
    <w:p w:rsidR="00161A81" w:rsidRPr="006822F2" w:rsidRDefault="00161A81" w:rsidP="00161A81">
      <w:pPr>
        <w:pBdr>
          <w:top w:val="single" w:sz="4" w:space="1" w:color="auto"/>
          <w:left w:val="single" w:sz="4" w:space="4" w:color="auto"/>
          <w:bottom w:val="single" w:sz="4" w:space="1" w:color="auto"/>
          <w:right w:val="single" w:sz="4" w:space="4" w:color="auto"/>
        </w:pBdr>
        <w:jc w:val="left"/>
        <w:rPr>
          <w:rFonts w:cs="Tahoma"/>
          <w:caps/>
          <w:sz w:val="28"/>
          <w:szCs w:val="28"/>
        </w:rPr>
      </w:pPr>
      <w:r w:rsidRPr="006822F2">
        <w:rPr>
          <w:rFonts w:ascii="Mistral" w:hAnsi="Mistral" w:cs="Tahoma"/>
          <w:b/>
          <w:caps/>
          <w:sz w:val="28"/>
          <w:szCs w:val="28"/>
        </w:rPr>
        <w:t>1. « </w:t>
      </w:r>
      <w:r>
        <w:rPr>
          <w:rFonts w:ascii="Mistral" w:hAnsi="Mistral" w:cs="Tahoma"/>
          <w:b/>
          <w:caps/>
          <w:sz w:val="28"/>
          <w:szCs w:val="28"/>
        </w:rPr>
        <w:t>Simon, LE PETIT EVADE DU 20</w:t>
      </w:r>
      <w:r w:rsidRPr="00161A81">
        <w:rPr>
          <w:rFonts w:ascii="Mistral" w:hAnsi="Mistral" w:cs="Tahoma"/>
          <w:b/>
          <w:caps/>
          <w:sz w:val="28"/>
          <w:szCs w:val="28"/>
          <w:vertAlign w:val="superscript"/>
        </w:rPr>
        <w:t>E</w:t>
      </w:r>
      <w:r>
        <w:rPr>
          <w:rFonts w:ascii="Mistral" w:hAnsi="Mistral" w:cs="Tahoma"/>
          <w:b/>
          <w:caps/>
          <w:sz w:val="28"/>
          <w:szCs w:val="28"/>
        </w:rPr>
        <w:t xml:space="preserve"> CONVOI »</w:t>
      </w:r>
      <w:r w:rsidRPr="006822F2">
        <w:rPr>
          <w:rFonts w:ascii="Mistral" w:hAnsi="Mistral" w:cs="Tahoma"/>
          <w:b/>
          <w:caps/>
          <w:sz w:val="28"/>
          <w:szCs w:val="28"/>
        </w:rPr>
        <w:t xml:space="preserve"> </w:t>
      </w:r>
      <w:r w:rsidR="003A3126" w:rsidRPr="003A3126">
        <w:rPr>
          <w:rFonts w:asciiTheme="minorHAnsi" w:hAnsiTheme="minorHAnsi" w:cstheme="minorHAnsi"/>
          <w:sz w:val="22"/>
          <w:szCs w:val="22"/>
        </w:rPr>
        <w:t>© Ed. L</w:t>
      </w:r>
      <w:r w:rsidR="00C84B6A">
        <w:rPr>
          <w:rFonts w:asciiTheme="minorHAnsi" w:hAnsiTheme="minorHAnsi" w:cstheme="minorHAnsi"/>
          <w:sz w:val="22"/>
          <w:szCs w:val="22"/>
        </w:rPr>
        <w:t xml:space="preserve">uc </w:t>
      </w:r>
      <w:r w:rsidR="003A3126" w:rsidRPr="003A3126">
        <w:rPr>
          <w:rFonts w:asciiTheme="minorHAnsi" w:hAnsiTheme="minorHAnsi" w:cstheme="minorHAnsi"/>
          <w:sz w:val="22"/>
          <w:szCs w:val="22"/>
        </w:rPr>
        <w:t>Pire</w:t>
      </w:r>
      <w:r w:rsidR="003A3126">
        <w:rPr>
          <w:rFonts w:asciiTheme="minorHAnsi" w:hAnsiTheme="minorHAnsi" w:cstheme="minorHAnsi"/>
          <w:sz w:val="22"/>
          <w:szCs w:val="22"/>
        </w:rPr>
        <w:t xml:space="preserve">  </w:t>
      </w:r>
    </w:p>
    <w:p w:rsidR="00161A81" w:rsidRDefault="00161A81" w:rsidP="00161A81">
      <w:pPr>
        <w:rPr>
          <w:rFonts w:cs="Tahoma"/>
          <w:sz w:val="22"/>
          <w:szCs w:val="22"/>
        </w:rPr>
      </w:pPr>
    </w:p>
    <w:p w:rsidR="00161A81" w:rsidRPr="003A3126" w:rsidRDefault="00161A81" w:rsidP="00C84B6A">
      <w:pPr>
        <w:spacing w:line="288" w:lineRule="auto"/>
        <w:rPr>
          <w:rFonts w:asciiTheme="minorHAnsi" w:hAnsiTheme="minorHAnsi" w:cstheme="minorHAnsi"/>
          <w:sz w:val="22"/>
          <w:szCs w:val="22"/>
        </w:rPr>
      </w:pPr>
      <w:r w:rsidRPr="003A3126">
        <w:rPr>
          <w:rFonts w:asciiTheme="minorHAnsi" w:hAnsiTheme="minorHAnsi" w:cstheme="minorHAnsi"/>
          <w:sz w:val="22"/>
          <w:szCs w:val="22"/>
        </w:rPr>
        <w:t xml:space="preserve">Symbole de la Shoah en Belgique, le destin de Simon </w:t>
      </w:r>
      <w:proofErr w:type="spellStart"/>
      <w:r w:rsidRPr="003A3126">
        <w:rPr>
          <w:rFonts w:asciiTheme="minorHAnsi" w:hAnsiTheme="minorHAnsi" w:cstheme="minorHAnsi"/>
          <w:sz w:val="22"/>
          <w:szCs w:val="22"/>
        </w:rPr>
        <w:t>Gronowski</w:t>
      </w:r>
      <w:proofErr w:type="spellEnd"/>
      <w:r w:rsidRPr="003A3126">
        <w:rPr>
          <w:rFonts w:asciiTheme="minorHAnsi" w:hAnsiTheme="minorHAnsi" w:cstheme="minorHAnsi"/>
          <w:sz w:val="22"/>
          <w:szCs w:val="22"/>
        </w:rPr>
        <w:t>, le petit évadé du 20</w:t>
      </w:r>
      <w:r w:rsidR="003A3126" w:rsidRPr="003A3126">
        <w:rPr>
          <w:rFonts w:asciiTheme="minorHAnsi" w:hAnsiTheme="minorHAnsi" w:cstheme="minorHAnsi"/>
          <w:sz w:val="22"/>
          <w:szCs w:val="22"/>
          <w:vertAlign w:val="superscript"/>
        </w:rPr>
        <w:t>e</w:t>
      </w:r>
      <w:r w:rsidR="003A3126">
        <w:rPr>
          <w:rFonts w:asciiTheme="minorHAnsi" w:hAnsiTheme="minorHAnsi" w:cstheme="minorHAnsi"/>
          <w:sz w:val="22"/>
          <w:szCs w:val="22"/>
        </w:rPr>
        <w:t xml:space="preserve"> </w:t>
      </w:r>
      <w:r w:rsidRPr="003A3126">
        <w:rPr>
          <w:rFonts w:asciiTheme="minorHAnsi" w:hAnsiTheme="minorHAnsi" w:cstheme="minorHAnsi"/>
          <w:sz w:val="22"/>
          <w:szCs w:val="22"/>
        </w:rPr>
        <w:t xml:space="preserve">convoi, interpelle les enfants, ainsi que le prouve leur intérêt </w:t>
      </w:r>
      <w:r w:rsidR="00A543EE">
        <w:rPr>
          <w:rFonts w:asciiTheme="minorHAnsi" w:hAnsiTheme="minorHAnsi" w:cstheme="minorHAnsi"/>
          <w:sz w:val="22"/>
          <w:szCs w:val="22"/>
        </w:rPr>
        <w:t>à la lecture du livre illustré « </w:t>
      </w:r>
      <w:r w:rsidRPr="003A3126">
        <w:rPr>
          <w:rFonts w:asciiTheme="minorHAnsi" w:hAnsiTheme="minorHAnsi" w:cstheme="minorHAnsi"/>
          <w:i/>
          <w:sz w:val="22"/>
          <w:szCs w:val="22"/>
        </w:rPr>
        <w:t>Simon, le petit évadé. L'enfant du 20</w:t>
      </w:r>
      <w:r w:rsidRPr="003A3126">
        <w:rPr>
          <w:rFonts w:asciiTheme="minorHAnsi" w:hAnsiTheme="minorHAnsi" w:cstheme="minorHAnsi"/>
          <w:i/>
          <w:sz w:val="22"/>
          <w:szCs w:val="22"/>
          <w:vertAlign w:val="superscript"/>
        </w:rPr>
        <w:t>e</w:t>
      </w:r>
      <w:r w:rsidRPr="003A3126">
        <w:rPr>
          <w:rFonts w:asciiTheme="minorHAnsi" w:hAnsiTheme="minorHAnsi" w:cstheme="minorHAnsi"/>
          <w:i/>
          <w:sz w:val="22"/>
          <w:szCs w:val="22"/>
        </w:rPr>
        <w:t xml:space="preserve"> convoi</w:t>
      </w:r>
      <w:r w:rsidR="00A543EE">
        <w:rPr>
          <w:rFonts w:asciiTheme="minorHAnsi" w:hAnsiTheme="minorHAnsi" w:cstheme="minorHAnsi"/>
          <w:i/>
          <w:sz w:val="22"/>
          <w:szCs w:val="22"/>
        </w:rPr>
        <w:t> »</w:t>
      </w:r>
      <w:r w:rsidRPr="003A3126">
        <w:rPr>
          <w:rFonts w:asciiTheme="minorHAnsi" w:hAnsiTheme="minorHAnsi" w:cstheme="minorHAnsi"/>
          <w:sz w:val="22"/>
          <w:szCs w:val="22"/>
        </w:rPr>
        <w:t xml:space="preserve"> de Simon </w:t>
      </w:r>
      <w:proofErr w:type="spellStart"/>
      <w:r w:rsidRPr="003A3126">
        <w:rPr>
          <w:rFonts w:asciiTheme="minorHAnsi" w:hAnsiTheme="minorHAnsi" w:cstheme="minorHAnsi"/>
          <w:sz w:val="22"/>
          <w:szCs w:val="22"/>
        </w:rPr>
        <w:t>Gronowski</w:t>
      </w:r>
      <w:proofErr w:type="spellEnd"/>
      <w:r w:rsidRPr="003A3126">
        <w:rPr>
          <w:rFonts w:asciiTheme="minorHAnsi" w:hAnsiTheme="minorHAnsi" w:cstheme="minorHAnsi"/>
          <w:sz w:val="22"/>
          <w:szCs w:val="22"/>
        </w:rPr>
        <w:t>, Cécile Bertrand, Réjane Péguy et Marie-France Botte paru aux Editions Luc Pire.</w:t>
      </w:r>
    </w:p>
    <w:p w:rsidR="00C84B6A" w:rsidRDefault="003A3126" w:rsidP="00C84B6A">
      <w:pPr>
        <w:spacing w:line="288" w:lineRule="auto"/>
        <w:rPr>
          <w:rFonts w:asciiTheme="minorHAnsi" w:hAnsiTheme="minorHAnsi" w:cstheme="minorHAnsi"/>
          <w:i/>
          <w:sz w:val="22"/>
          <w:szCs w:val="22"/>
        </w:rPr>
      </w:pPr>
      <w:r>
        <w:rPr>
          <w:rFonts w:asciiTheme="minorHAnsi" w:hAnsiTheme="minorHAnsi" w:cstheme="minorHAnsi"/>
          <w:sz w:val="22"/>
          <w:szCs w:val="22"/>
        </w:rPr>
        <w:t>« </w:t>
      </w:r>
      <w:r w:rsidR="00161A81" w:rsidRPr="003A3126">
        <w:rPr>
          <w:rFonts w:asciiTheme="minorHAnsi" w:hAnsiTheme="minorHAnsi" w:cstheme="minorHAnsi"/>
          <w:i/>
          <w:sz w:val="22"/>
          <w:szCs w:val="22"/>
        </w:rPr>
        <w:t xml:space="preserve">Aujourd’hui, je suis grand-père et mes petits-fils ont l’âge que j’avais quand j’ai sauté du train.  Je vois tous les jours dans le monde des signes d’intolérance. </w:t>
      </w:r>
      <w:r w:rsidR="00161A81" w:rsidRPr="003A3126">
        <w:rPr>
          <w:rFonts w:asciiTheme="minorHAnsi" w:hAnsiTheme="minorHAnsi" w:cstheme="minorHAnsi"/>
          <w:b/>
          <w:i/>
          <w:sz w:val="22"/>
          <w:szCs w:val="22"/>
        </w:rPr>
        <w:t xml:space="preserve">Partout, même chez nous, l’homme semble avoir peur de l’autre, de la différence, alors que là se trouve la richesse de l’humanité. </w:t>
      </w:r>
      <w:r w:rsidR="00161A81" w:rsidRPr="003A3126">
        <w:rPr>
          <w:rFonts w:asciiTheme="minorHAnsi" w:hAnsiTheme="minorHAnsi" w:cstheme="minorHAnsi"/>
          <w:i/>
          <w:sz w:val="22"/>
          <w:szCs w:val="22"/>
        </w:rPr>
        <w:t>Si je raconte mon histoire, c’est pour montrer le danger de l’indifférence.</w:t>
      </w:r>
      <w:r>
        <w:rPr>
          <w:rFonts w:asciiTheme="minorHAnsi" w:hAnsiTheme="minorHAnsi" w:cstheme="minorHAnsi"/>
          <w:i/>
          <w:sz w:val="22"/>
          <w:szCs w:val="22"/>
        </w:rPr>
        <w:t> »</w:t>
      </w:r>
      <w:r w:rsidR="00161A81" w:rsidRPr="003A3126">
        <w:rPr>
          <w:rFonts w:asciiTheme="minorHAnsi" w:hAnsiTheme="minorHAnsi" w:cstheme="minorHAnsi"/>
          <w:i/>
          <w:sz w:val="22"/>
          <w:szCs w:val="22"/>
        </w:rPr>
        <w:t xml:space="preserve">  </w:t>
      </w:r>
    </w:p>
    <w:p w:rsidR="00C84B6A" w:rsidRDefault="001F4D7E" w:rsidP="00C84B6A">
      <w:pPr>
        <w:spacing w:line="288" w:lineRule="auto"/>
        <w:rPr>
          <w:rFonts w:asciiTheme="minorHAnsi" w:hAnsiTheme="minorHAnsi" w:cstheme="minorHAnsi"/>
          <w:b/>
          <w:sz w:val="22"/>
          <w:szCs w:val="22"/>
        </w:rPr>
      </w:pPr>
      <w:r w:rsidRPr="001F4D7E">
        <w:rPr>
          <w:rFonts w:ascii="Tahoma" w:hAnsi="Tahoma" w:cs="Tahoma"/>
          <w:b/>
          <w:color w:val="808080" w:themeColor="background1" w:themeShade="80"/>
          <w:sz w:val="20"/>
          <w:szCs w:val="20"/>
          <w:u w:val="single"/>
        </w:rPr>
        <w:t>Public cible :</w:t>
      </w:r>
      <w:r w:rsidRPr="001F4D7E">
        <w:rPr>
          <w:rFonts w:asciiTheme="minorHAnsi" w:hAnsiTheme="minorHAnsi" w:cstheme="minorHAnsi"/>
          <w:b/>
          <w:color w:val="808080" w:themeColor="background1" w:themeShade="80"/>
          <w:sz w:val="22"/>
          <w:szCs w:val="22"/>
        </w:rPr>
        <w:t xml:space="preserve"> </w:t>
      </w:r>
      <w:r w:rsidR="003A3126" w:rsidRPr="00C84B6A">
        <w:rPr>
          <w:rFonts w:asciiTheme="minorHAnsi" w:hAnsiTheme="minorHAnsi" w:cstheme="minorHAnsi"/>
          <w:sz w:val="22"/>
          <w:szCs w:val="22"/>
        </w:rPr>
        <w:t xml:space="preserve">élèves de l’enseignement primaire (8 à 12 ans) et enfants. </w:t>
      </w:r>
    </w:p>
    <w:p w:rsidR="001F4D7E" w:rsidRPr="001F4D7E" w:rsidRDefault="001F4D7E" w:rsidP="001F4D7E">
      <w:pPr>
        <w:spacing w:line="288" w:lineRule="auto"/>
        <w:rPr>
          <w:rFonts w:ascii="Tahoma" w:hAnsi="Tahoma" w:cs="Tahoma"/>
          <w:b/>
          <w:color w:val="808080" w:themeColor="background1" w:themeShade="80"/>
          <w:sz w:val="20"/>
          <w:szCs w:val="20"/>
          <w:u w:val="single"/>
        </w:rPr>
      </w:pPr>
      <w:r w:rsidRPr="001F4D7E">
        <w:rPr>
          <w:rFonts w:ascii="Tahoma" w:hAnsi="Tahoma" w:cs="Tahoma"/>
          <w:b/>
          <w:color w:val="808080" w:themeColor="background1" w:themeShade="80"/>
          <w:sz w:val="20"/>
          <w:szCs w:val="20"/>
          <w:u w:val="single"/>
        </w:rPr>
        <w:t>Description et conditions générales :</w:t>
      </w:r>
    </w:p>
    <w:p w:rsidR="00161A81" w:rsidRPr="003A3126" w:rsidRDefault="00161A81"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rPr>
        <w:t>Composition du livre exposition</w:t>
      </w:r>
      <w:r w:rsidRPr="003A3126">
        <w:rPr>
          <w:rFonts w:asciiTheme="minorHAnsi" w:hAnsiTheme="minorHAnsi" w:cstheme="minorHAnsi"/>
          <w:sz w:val="22"/>
          <w:szCs w:val="22"/>
        </w:rPr>
        <w:t xml:space="preserve"> : 24 panneaux légers de </w:t>
      </w:r>
      <w:smartTag w:uri="urn:schemas-microsoft-com:office:smarttags" w:element="metricconverter">
        <w:smartTagPr>
          <w:attr w:name="ProductID" w:val="70 cm"/>
        </w:smartTagPr>
        <w:r w:rsidRPr="003A3126">
          <w:rPr>
            <w:rFonts w:asciiTheme="minorHAnsi" w:hAnsiTheme="minorHAnsi" w:cstheme="minorHAnsi"/>
            <w:sz w:val="22"/>
            <w:szCs w:val="22"/>
          </w:rPr>
          <w:t>70 cm</w:t>
        </w:r>
      </w:smartTag>
      <w:r w:rsidRPr="003A3126">
        <w:rPr>
          <w:rFonts w:asciiTheme="minorHAnsi" w:hAnsiTheme="minorHAnsi" w:cstheme="minorHAnsi"/>
          <w:sz w:val="22"/>
          <w:szCs w:val="22"/>
        </w:rPr>
        <w:t xml:space="preserve"> sur </w:t>
      </w:r>
      <w:smartTag w:uri="urn:schemas-microsoft-com:office:smarttags" w:element="metricconverter">
        <w:smartTagPr>
          <w:attr w:name="ProductID" w:val="60 cm"/>
        </w:smartTagPr>
        <w:r w:rsidRPr="003A3126">
          <w:rPr>
            <w:rFonts w:asciiTheme="minorHAnsi" w:hAnsiTheme="minorHAnsi" w:cstheme="minorHAnsi"/>
            <w:sz w:val="22"/>
            <w:szCs w:val="22"/>
          </w:rPr>
          <w:t>60 cm</w:t>
        </w:r>
      </w:smartTag>
      <w:r w:rsidRPr="003A3126">
        <w:rPr>
          <w:rFonts w:asciiTheme="minorHAnsi" w:hAnsiTheme="minorHAnsi" w:cstheme="minorHAnsi"/>
          <w:sz w:val="22"/>
          <w:szCs w:val="22"/>
        </w:rPr>
        <w:t xml:space="preserve">, reliés entre eux par quatre anneaux en style calendrier. </w:t>
      </w:r>
    </w:p>
    <w:p w:rsidR="00161A81" w:rsidRPr="003A3126" w:rsidRDefault="00161A81"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rPr>
        <w:t>Participation aux frais</w:t>
      </w:r>
      <w:r w:rsidRPr="003A3126">
        <w:rPr>
          <w:rFonts w:asciiTheme="minorHAnsi" w:hAnsiTheme="minorHAnsi" w:cstheme="minorHAnsi"/>
          <w:sz w:val="22"/>
          <w:szCs w:val="22"/>
        </w:rPr>
        <w:t xml:space="preserve"> : l'exposition est entièrement gratuite.</w:t>
      </w:r>
    </w:p>
    <w:p w:rsidR="00161A81" w:rsidRPr="003A3126" w:rsidRDefault="00161A81"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rPr>
        <w:t>Transport</w:t>
      </w:r>
      <w:r w:rsidRPr="003A3126">
        <w:rPr>
          <w:rFonts w:asciiTheme="minorHAnsi" w:hAnsiTheme="minorHAnsi" w:cstheme="minorHAnsi"/>
          <w:sz w:val="22"/>
          <w:szCs w:val="22"/>
        </w:rPr>
        <w:t xml:space="preserve"> : enlèvement et retour au CCLJ par vos soins.</w:t>
      </w:r>
    </w:p>
    <w:p w:rsidR="00161A81" w:rsidRPr="003A3126" w:rsidRDefault="00161A81"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u w:val="single"/>
        </w:rPr>
        <w:t>Contrat de prêt à signer</w:t>
      </w:r>
      <w:r w:rsidRPr="003A3126">
        <w:rPr>
          <w:rFonts w:asciiTheme="minorHAnsi" w:hAnsiTheme="minorHAnsi" w:cstheme="minorHAnsi"/>
          <w:sz w:val="22"/>
          <w:szCs w:val="22"/>
        </w:rPr>
        <w:t>.</w:t>
      </w:r>
    </w:p>
    <w:p w:rsidR="00FF5748" w:rsidRPr="006822F2" w:rsidRDefault="00FF5748" w:rsidP="00FF5748">
      <w:pPr>
        <w:jc w:val="center"/>
        <w:rPr>
          <w:rFonts w:ascii="Mistral" w:hAnsi="Mistral" w:cs="Tahoma"/>
          <w:b/>
          <w:caps/>
          <w:sz w:val="28"/>
          <w:szCs w:val="28"/>
        </w:rPr>
      </w:pPr>
    </w:p>
    <w:p w:rsidR="00FF5748" w:rsidRPr="006822F2" w:rsidRDefault="003A3126" w:rsidP="00FF5748">
      <w:pPr>
        <w:pBdr>
          <w:top w:val="single" w:sz="4" w:space="1" w:color="auto"/>
          <w:left w:val="single" w:sz="4" w:space="4" w:color="auto"/>
          <w:bottom w:val="single" w:sz="4" w:space="1" w:color="auto"/>
          <w:right w:val="single" w:sz="4" w:space="4" w:color="auto"/>
        </w:pBdr>
        <w:jc w:val="left"/>
        <w:rPr>
          <w:rFonts w:cs="Tahoma"/>
          <w:caps/>
          <w:sz w:val="28"/>
          <w:szCs w:val="28"/>
        </w:rPr>
      </w:pPr>
      <w:r>
        <w:rPr>
          <w:rFonts w:ascii="Mistral" w:hAnsi="Mistral" w:cs="Tahoma"/>
          <w:b/>
          <w:caps/>
          <w:sz w:val="28"/>
          <w:szCs w:val="28"/>
        </w:rPr>
        <w:t>2.</w:t>
      </w:r>
      <w:r w:rsidR="00FF5748" w:rsidRPr="006822F2">
        <w:rPr>
          <w:rFonts w:ascii="Mistral" w:hAnsi="Mistral" w:cs="Tahoma"/>
          <w:b/>
          <w:caps/>
          <w:sz w:val="28"/>
          <w:szCs w:val="28"/>
        </w:rPr>
        <w:t xml:space="preserve"> « DESTINS D’ENFANTS JUIFS SURVIVANTS EN Belgique SOUS </w:t>
      </w:r>
      <w:smartTag w:uri="urn:schemas-microsoft-com:office:smarttags" w:element="PersonName">
        <w:smartTagPr>
          <w:attr w:name="ProductID" w:val="LA TOURMENTE NAZIE"/>
        </w:smartTagPr>
        <w:r w:rsidR="00FF5748" w:rsidRPr="006822F2">
          <w:rPr>
            <w:rFonts w:ascii="Mistral" w:hAnsi="Mistral" w:cs="Tahoma"/>
            <w:b/>
            <w:caps/>
            <w:sz w:val="28"/>
            <w:szCs w:val="28"/>
          </w:rPr>
          <w:t>LA TOURMENTE NAZIE</w:t>
        </w:r>
      </w:smartTag>
      <w:r w:rsidR="00FF5748" w:rsidRPr="006822F2">
        <w:rPr>
          <w:rFonts w:ascii="Mistral" w:hAnsi="Mistral" w:cs="Tahoma"/>
          <w:b/>
          <w:caps/>
          <w:sz w:val="28"/>
          <w:szCs w:val="28"/>
        </w:rPr>
        <w:t xml:space="preserve"> » </w:t>
      </w:r>
    </w:p>
    <w:p w:rsidR="00FF5748" w:rsidRDefault="00FF5748" w:rsidP="00FF5748">
      <w:pPr>
        <w:rPr>
          <w:rFonts w:cs="Tahoma"/>
          <w:sz w:val="22"/>
          <w:szCs w:val="22"/>
        </w:rPr>
      </w:pPr>
    </w:p>
    <w:p w:rsidR="00FF5748" w:rsidRPr="003A3126" w:rsidRDefault="00FF5748" w:rsidP="00C84B6A">
      <w:pPr>
        <w:spacing w:line="288" w:lineRule="auto"/>
        <w:rPr>
          <w:rFonts w:asciiTheme="minorHAnsi" w:hAnsiTheme="minorHAnsi" w:cstheme="minorHAnsi"/>
          <w:sz w:val="22"/>
          <w:szCs w:val="22"/>
        </w:rPr>
      </w:pPr>
      <w:r w:rsidRPr="003A3126">
        <w:rPr>
          <w:rFonts w:asciiTheme="minorHAnsi" w:hAnsiTheme="minorHAnsi" w:cstheme="minorHAnsi"/>
          <w:sz w:val="22"/>
          <w:szCs w:val="22"/>
        </w:rPr>
        <w:t xml:space="preserve">L’histoire de </w:t>
      </w:r>
      <w:smartTag w:uri="urn:schemas-microsoft-com:office:smarttags" w:element="PersonName">
        <w:smartTagPr>
          <w:attr w:name="ProductID" w:val="la Shoah"/>
        </w:smartTagPr>
        <w:r w:rsidRPr="003A3126">
          <w:rPr>
            <w:rFonts w:asciiTheme="minorHAnsi" w:hAnsiTheme="minorHAnsi" w:cstheme="minorHAnsi"/>
            <w:sz w:val="22"/>
            <w:szCs w:val="22"/>
          </w:rPr>
          <w:t>la Shoah</w:t>
        </w:r>
      </w:smartTag>
      <w:r w:rsidRPr="003A3126">
        <w:rPr>
          <w:rFonts w:asciiTheme="minorHAnsi" w:hAnsiTheme="minorHAnsi" w:cstheme="minorHAnsi"/>
          <w:sz w:val="22"/>
          <w:szCs w:val="22"/>
        </w:rPr>
        <w:t xml:space="preserve"> en Belgique illustrée par sept destins représentatifs du vécu des rares survivants en Belgique :</w:t>
      </w:r>
      <w:r w:rsidRPr="003A3126">
        <w:rPr>
          <w:rFonts w:asciiTheme="minorHAnsi" w:hAnsiTheme="minorHAnsi" w:cstheme="minorHAnsi"/>
          <w:b/>
          <w:sz w:val="22"/>
          <w:szCs w:val="22"/>
        </w:rPr>
        <w:t xml:space="preserve"> Simon </w:t>
      </w:r>
      <w:proofErr w:type="spellStart"/>
      <w:r w:rsidRPr="003A3126">
        <w:rPr>
          <w:rFonts w:asciiTheme="minorHAnsi" w:hAnsiTheme="minorHAnsi" w:cstheme="minorHAnsi"/>
          <w:b/>
          <w:sz w:val="22"/>
          <w:szCs w:val="22"/>
        </w:rPr>
        <w:t>Gronowski</w:t>
      </w:r>
      <w:proofErr w:type="spellEnd"/>
      <w:r w:rsidRPr="003A3126">
        <w:rPr>
          <w:rFonts w:asciiTheme="minorHAnsi" w:hAnsiTheme="minorHAnsi" w:cstheme="minorHAnsi"/>
          <w:b/>
          <w:sz w:val="22"/>
          <w:szCs w:val="22"/>
        </w:rPr>
        <w:t> </w:t>
      </w:r>
      <w:r w:rsidRPr="003A3126">
        <w:rPr>
          <w:rFonts w:asciiTheme="minorHAnsi" w:hAnsiTheme="minorHAnsi" w:cstheme="minorHAnsi"/>
          <w:sz w:val="22"/>
          <w:szCs w:val="22"/>
        </w:rPr>
        <w:t>: le petit évadé du 20</w:t>
      </w:r>
      <w:r w:rsidR="003A3126" w:rsidRPr="003A3126">
        <w:rPr>
          <w:rFonts w:asciiTheme="minorHAnsi" w:hAnsiTheme="minorHAnsi" w:cstheme="minorHAnsi"/>
          <w:sz w:val="22"/>
          <w:szCs w:val="22"/>
          <w:vertAlign w:val="superscript"/>
        </w:rPr>
        <w:t>e</w:t>
      </w:r>
      <w:r w:rsidR="003A3126">
        <w:rPr>
          <w:rFonts w:asciiTheme="minorHAnsi" w:hAnsiTheme="minorHAnsi" w:cstheme="minorHAnsi"/>
          <w:sz w:val="22"/>
          <w:szCs w:val="22"/>
        </w:rPr>
        <w:t xml:space="preserve"> </w:t>
      </w:r>
      <w:r w:rsidRPr="003A3126">
        <w:rPr>
          <w:rFonts w:asciiTheme="minorHAnsi" w:hAnsiTheme="minorHAnsi" w:cstheme="minorHAnsi"/>
          <w:sz w:val="22"/>
          <w:szCs w:val="22"/>
        </w:rPr>
        <w:t xml:space="preserve">convoi, 9 ans en 1940.  </w:t>
      </w:r>
      <w:r w:rsidRPr="003A3126">
        <w:rPr>
          <w:rFonts w:asciiTheme="minorHAnsi" w:hAnsiTheme="minorHAnsi" w:cstheme="minorHAnsi"/>
          <w:b/>
          <w:sz w:val="22"/>
          <w:szCs w:val="22"/>
        </w:rPr>
        <w:t xml:space="preserve">Henri </w:t>
      </w:r>
      <w:proofErr w:type="spellStart"/>
      <w:r w:rsidRPr="003A3126">
        <w:rPr>
          <w:rFonts w:asciiTheme="minorHAnsi" w:hAnsiTheme="minorHAnsi" w:cstheme="minorHAnsi"/>
          <w:b/>
          <w:sz w:val="22"/>
          <w:szCs w:val="22"/>
        </w:rPr>
        <w:t>Kichka</w:t>
      </w:r>
      <w:proofErr w:type="spellEnd"/>
      <w:r w:rsidRPr="003A3126">
        <w:rPr>
          <w:rFonts w:asciiTheme="minorHAnsi" w:hAnsiTheme="minorHAnsi" w:cstheme="minorHAnsi"/>
          <w:b/>
          <w:sz w:val="22"/>
          <w:szCs w:val="22"/>
        </w:rPr>
        <w:t> </w:t>
      </w:r>
      <w:r w:rsidRPr="003A3126">
        <w:rPr>
          <w:rFonts w:asciiTheme="minorHAnsi" w:hAnsiTheme="minorHAnsi" w:cstheme="minorHAnsi"/>
          <w:sz w:val="22"/>
          <w:szCs w:val="22"/>
        </w:rPr>
        <w:t xml:space="preserve">: déporté dans 11 camps de la mort, 14 ans en 1940. </w:t>
      </w:r>
      <w:r w:rsidRPr="003A3126">
        <w:rPr>
          <w:rFonts w:asciiTheme="minorHAnsi" w:hAnsiTheme="minorHAnsi" w:cstheme="minorHAnsi"/>
          <w:b/>
          <w:sz w:val="22"/>
          <w:szCs w:val="22"/>
        </w:rPr>
        <w:t xml:space="preserve">Marie </w:t>
      </w:r>
      <w:proofErr w:type="spellStart"/>
      <w:r w:rsidRPr="003A3126">
        <w:rPr>
          <w:rFonts w:asciiTheme="minorHAnsi" w:hAnsiTheme="minorHAnsi" w:cstheme="minorHAnsi"/>
          <w:b/>
          <w:sz w:val="22"/>
          <w:szCs w:val="22"/>
        </w:rPr>
        <w:t>Pinhas</w:t>
      </w:r>
      <w:proofErr w:type="spellEnd"/>
      <w:r w:rsidRPr="003A3126">
        <w:rPr>
          <w:rFonts w:asciiTheme="minorHAnsi" w:hAnsiTheme="minorHAnsi" w:cstheme="minorHAnsi"/>
          <w:sz w:val="22"/>
          <w:szCs w:val="22"/>
        </w:rPr>
        <w:t xml:space="preserve"> : déportée à Auschwitz-Birkenau, 9 ans en 1940. </w:t>
      </w:r>
      <w:r w:rsidRPr="003A3126">
        <w:rPr>
          <w:rFonts w:asciiTheme="minorHAnsi" w:hAnsiTheme="minorHAnsi" w:cstheme="minorHAnsi"/>
          <w:b/>
          <w:sz w:val="22"/>
          <w:szCs w:val="22"/>
        </w:rPr>
        <w:t xml:space="preserve">Rik </w:t>
      </w:r>
      <w:proofErr w:type="spellStart"/>
      <w:r w:rsidRPr="003A3126">
        <w:rPr>
          <w:rFonts w:asciiTheme="minorHAnsi" w:hAnsiTheme="minorHAnsi" w:cstheme="minorHAnsi"/>
          <w:b/>
          <w:sz w:val="22"/>
          <w:szCs w:val="22"/>
        </w:rPr>
        <w:t>Szyffer</w:t>
      </w:r>
      <w:proofErr w:type="spellEnd"/>
      <w:r w:rsidRPr="003A3126">
        <w:rPr>
          <w:rFonts w:asciiTheme="minorHAnsi" w:hAnsiTheme="minorHAnsi" w:cstheme="minorHAnsi"/>
          <w:sz w:val="22"/>
          <w:szCs w:val="22"/>
        </w:rPr>
        <w:t xml:space="preserve"> : le résistant armé, 20 ans en 1940. </w:t>
      </w:r>
      <w:r w:rsidRPr="003A3126">
        <w:rPr>
          <w:rFonts w:asciiTheme="minorHAnsi" w:hAnsiTheme="minorHAnsi" w:cstheme="minorHAnsi"/>
          <w:b/>
          <w:sz w:val="22"/>
          <w:szCs w:val="22"/>
        </w:rPr>
        <w:t xml:space="preserve">Henri </w:t>
      </w:r>
      <w:proofErr w:type="spellStart"/>
      <w:r w:rsidRPr="003A3126">
        <w:rPr>
          <w:rFonts w:asciiTheme="minorHAnsi" w:hAnsiTheme="minorHAnsi" w:cstheme="minorHAnsi"/>
          <w:b/>
          <w:sz w:val="22"/>
          <w:szCs w:val="22"/>
        </w:rPr>
        <w:t>Lederhandler</w:t>
      </w:r>
      <w:proofErr w:type="spellEnd"/>
      <w:r w:rsidRPr="003A3126">
        <w:rPr>
          <w:rFonts w:asciiTheme="minorHAnsi" w:hAnsiTheme="minorHAnsi" w:cstheme="minorHAnsi"/>
          <w:sz w:val="22"/>
          <w:szCs w:val="22"/>
        </w:rPr>
        <w:t xml:space="preserve"> : l’enfant caché par </w:t>
      </w:r>
      <w:smartTag w:uri="urn:schemas-microsoft-com:office:smarttags" w:element="PersonName">
        <w:smartTagPr>
          <w:attr w:name="ProductID" w:val="la R￩sistance"/>
        </w:smartTagPr>
        <w:r w:rsidRPr="003A3126">
          <w:rPr>
            <w:rFonts w:asciiTheme="minorHAnsi" w:hAnsiTheme="minorHAnsi" w:cstheme="minorHAnsi"/>
            <w:sz w:val="22"/>
            <w:szCs w:val="22"/>
          </w:rPr>
          <w:t>la Résistance</w:t>
        </w:r>
      </w:smartTag>
      <w:r w:rsidRPr="003A3126">
        <w:rPr>
          <w:rFonts w:asciiTheme="minorHAnsi" w:hAnsiTheme="minorHAnsi" w:cstheme="minorHAnsi"/>
          <w:sz w:val="22"/>
          <w:szCs w:val="22"/>
        </w:rPr>
        <w:t xml:space="preserve">, 7 ans en 1940. </w:t>
      </w:r>
      <w:r w:rsidRPr="003A3126">
        <w:rPr>
          <w:rFonts w:asciiTheme="minorHAnsi" w:hAnsiTheme="minorHAnsi" w:cstheme="minorHAnsi"/>
          <w:b/>
          <w:sz w:val="22"/>
          <w:szCs w:val="22"/>
        </w:rPr>
        <w:t xml:space="preserve">Tony et David </w:t>
      </w:r>
      <w:proofErr w:type="spellStart"/>
      <w:r w:rsidRPr="003A3126">
        <w:rPr>
          <w:rFonts w:asciiTheme="minorHAnsi" w:hAnsiTheme="minorHAnsi" w:cstheme="minorHAnsi"/>
          <w:b/>
          <w:sz w:val="22"/>
          <w:szCs w:val="22"/>
        </w:rPr>
        <w:t>Susskind</w:t>
      </w:r>
      <w:proofErr w:type="spellEnd"/>
      <w:r w:rsidRPr="003A3126">
        <w:rPr>
          <w:rFonts w:asciiTheme="minorHAnsi" w:hAnsiTheme="minorHAnsi" w:cstheme="minorHAnsi"/>
          <w:sz w:val="22"/>
          <w:szCs w:val="22"/>
        </w:rPr>
        <w:t> : les fugitifs, 13 et 14 ans en 1940.</w:t>
      </w:r>
    </w:p>
    <w:p w:rsidR="003A3126" w:rsidRPr="003A3126" w:rsidRDefault="003A3126" w:rsidP="00C84B6A">
      <w:pPr>
        <w:spacing w:line="288" w:lineRule="auto"/>
        <w:rPr>
          <w:rFonts w:asciiTheme="minorHAnsi" w:hAnsiTheme="minorHAnsi" w:cstheme="minorHAnsi"/>
          <w:sz w:val="22"/>
          <w:szCs w:val="22"/>
        </w:rPr>
      </w:pPr>
      <w:r w:rsidRPr="001F4D7E">
        <w:rPr>
          <w:rFonts w:ascii="Tahoma" w:hAnsi="Tahoma" w:cs="Tahoma"/>
          <w:b/>
          <w:color w:val="808080" w:themeColor="background1" w:themeShade="80"/>
          <w:sz w:val="20"/>
          <w:szCs w:val="20"/>
          <w:u w:val="single"/>
        </w:rPr>
        <w:t>Public cible :</w:t>
      </w:r>
      <w:r w:rsidRPr="001F4D7E">
        <w:rPr>
          <w:rFonts w:asciiTheme="minorHAnsi" w:hAnsiTheme="minorHAnsi" w:cstheme="minorHAnsi"/>
          <w:b/>
          <w:color w:val="808080" w:themeColor="background1" w:themeShade="80"/>
          <w:sz w:val="22"/>
          <w:szCs w:val="22"/>
        </w:rPr>
        <w:t xml:space="preserve"> </w:t>
      </w:r>
      <w:r w:rsidRPr="003A3126">
        <w:rPr>
          <w:rFonts w:asciiTheme="minorHAnsi" w:hAnsiTheme="minorHAnsi" w:cstheme="minorHAnsi"/>
          <w:sz w:val="22"/>
          <w:szCs w:val="22"/>
        </w:rPr>
        <w:t>étudiants de l’enseignement secondaire (12 à 18 ans), adolescents et adultes</w:t>
      </w:r>
      <w:r>
        <w:rPr>
          <w:rFonts w:asciiTheme="minorHAnsi" w:hAnsiTheme="minorHAnsi" w:cstheme="minorHAnsi"/>
          <w:sz w:val="22"/>
          <w:szCs w:val="22"/>
        </w:rPr>
        <w:t>.</w:t>
      </w:r>
    </w:p>
    <w:p w:rsidR="00FF5748" w:rsidRPr="001F4D7E" w:rsidRDefault="00FF5748" w:rsidP="00C84B6A">
      <w:pPr>
        <w:spacing w:line="288" w:lineRule="auto"/>
        <w:rPr>
          <w:rFonts w:ascii="Tahoma" w:hAnsi="Tahoma" w:cs="Tahoma"/>
          <w:b/>
          <w:color w:val="808080" w:themeColor="background1" w:themeShade="80"/>
          <w:sz w:val="20"/>
          <w:szCs w:val="20"/>
          <w:u w:val="single"/>
        </w:rPr>
      </w:pPr>
      <w:r w:rsidRPr="001F4D7E">
        <w:rPr>
          <w:rFonts w:ascii="Tahoma" w:hAnsi="Tahoma" w:cs="Tahoma"/>
          <w:b/>
          <w:color w:val="808080" w:themeColor="background1" w:themeShade="80"/>
          <w:sz w:val="20"/>
          <w:szCs w:val="20"/>
          <w:u w:val="single"/>
        </w:rPr>
        <w:t>Description et conditions générales</w:t>
      </w:r>
      <w:r w:rsidR="00C84B6A" w:rsidRPr="001F4D7E">
        <w:rPr>
          <w:rFonts w:ascii="Tahoma" w:hAnsi="Tahoma" w:cs="Tahoma"/>
          <w:b/>
          <w:color w:val="808080" w:themeColor="background1" w:themeShade="80"/>
          <w:sz w:val="20"/>
          <w:szCs w:val="20"/>
          <w:u w:val="single"/>
        </w:rPr>
        <w:t> :</w:t>
      </w:r>
    </w:p>
    <w:p w:rsidR="00FF5748" w:rsidRPr="003A3126" w:rsidRDefault="00FF5748"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rPr>
        <w:t>Composition de l’exposition</w:t>
      </w:r>
      <w:r w:rsidRPr="003A3126">
        <w:rPr>
          <w:rFonts w:asciiTheme="minorHAnsi" w:hAnsiTheme="minorHAnsi" w:cstheme="minorHAnsi"/>
          <w:sz w:val="22"/>
          <w:szCs w:val="22"/>
        </w:rPr>
        <w:t xml:space="preserve"> : 23 panneaux en couleurs d’1m80 (hauteur) sur 1m (largeur)</w:t>
      </w:r>
    </w:p>
    <w:p w:rsidR="00FF5748" w:rsidRPr="003A3126" w:rsidRDefault="00FF5748"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rPr>
        <w:t>Conditionnement</w:t>
      </w:r>
      <w:r w:rsidRPr="003A3126">
        <w:rPr>
          <w:rFonts w:asciiTheme="minorHAnsi" w:hAnsiTheme="minorHAnsi" w:cstheme="minorHAnsi"/>
          <w:sz w:val="22"/>
          <w:szCs w:val="22"/>
        </w:rPr>
        <w:t xml:space="preserve"> : 1 caisse en bois montée sur 2 roulettes</w:t>
      </w:r>
    </w:p>
    <w:p w:rsidR="00FF5748" w:rsidRPr="003A3126" w:rsidRDefault="00FF5748"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rPr>
        <w:t xml:space="preserve">Dimensions de la caisse </w:t>
      </w:r>
      <w:r w:rsidRPr="003A3126">
        <w:rPr>
          <w:rFonts w:asciiTheme="minorHAnsi" w:hAnsiTheme="minorHAnsi" w:cstheme="minorHAnsi"/>
          <w:sz w:val="22"/>
          <w:szCs w:val="22"/>
        </w:rPr>
        <w:t xml:space="preserve">: hauteur : </w:t>
      </w:r>
      <w:smartTag w:uri="urn:schemas-microsoft-com:office:smarttags" w:element="metricconverter">
        <w:smartTagPr>
          <w:attr w:name="ProductID" w:val="108 cm"/>
        </w:smartTagPr>
        <w:r w:rsidRPr="003A3126">
          <w:rPr>
            <w:rFonts w:asciiTheme="minorHAnsi" w:hAnsiTheme="minorHAnsi" w:cstheme="minorHAnsi"/>
            <w:sz w:val="22"/>
            <w:szCs w:val="22"/>
          </w:rPr>
          <w:t>108 cm</w:t>
        </w:r>
      </w:smartTag>
      <w:r w:rsidRPr="003A3126">
        <w:rPr>
          <w:rFonts w:asciiTheme="minorHAnsi" w:hAnsiTheme="minorHAnsi" w:cstheme="minorHAnsi"/>
          <w:sz w:val="22"/>
          <w:szCs w:val="22"/>
        </w:rPr>
        <w:t xml:space="preserve">, largueur : </w:t>
      </w:r>
      <w:smartTag w:uri="urn:schemas-microsoft-com:office:smarttags" w:element="metricconverter">
        <w:smartTagPr>
          <w:attr w:name="ProductID" w:val="46 cm"/>
        </w:smartTagPr>
        <w:r w:rsidRPr="003A3126">
          <w:rPr>
            <w:rFonts w:asciiTheme="minorHAnsi" w:hAnsiTheme="minorHAnsi" w:cstheme="minorHAnsi"/>
            <w:sz w:val="22"/>
            <w:szCs w:val="22"/>
          </w:rPr>
          <w:t>46 cm</w:t>
        </w:r>
      </w:smartTag>
      <w:r w:rsidRPr="003A3126">
        <w:rPr>
          <w:rFonts w:asciiTheme="minorHAnsi" w:hAnsiTheme="minorHAnsi" w:cstheme="minorHAnsi"/>
          <w:sz w:val="22"/>
          <w:szCs w:val="22"/>
        </w:rPr>
        <w:t xml:space="preserve">, profondeur : </w:t>
      </w:r>
      <w:smartTag w:uri="urn:schemas-microsoft-com:office:smarttags" w:element="metricconverter">
        <w:smartTagPr>
          <w:attr w:name="ProductID" w:val="52 cm"/>
        </w:smartTagPr>
        <w:r w:rsidRPr="003A3126">
          <w:rPr>
            <w:rFonts w:asciiTheme="minorHAnsi" w:hAnsiTheme="minorHAnsi" w:cstheme="minorHAnsi"/>
            <w:sz w:val="22"/>
            <w:szCs w:val="22"/>
          </w:rPr>
          <w:t>52 cm</w:t>
        </w:r>
      </w:smartTag>
      <w:r w:rsidRPr="003A3126">
        <w:rPr>
          <w:rFonts w:asciiTheme="minorHAnsi" w:hAnsiTheme="minorHAnsi" w:cstheme="minorHAnsi"/>
          <w:sz w:val="22"/>
          <w:szCs w:val="22"/>
        </w:rPr>
        <w:t xml:space="preserve">  </w:t>
      </w:r>
    </w:p>
    <w:p w:rsidR="00FF5748" w:rsidRPr="003A3126" w:rsidRDefault="00FF5748"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rPr>
        <w:t>Poids total (caisse + 23 panneaux)</w:t>
      </w:r>
      <w:r w:rsidRPr="003A3126">
        <w:rPr>
          <w:rFonts w:asciiTheme="minorHAnsi" w:hAnsiTheme="minorHAnsi" w:cstheme="minorHAnsi"/>
          <w:sz w:val="22"/>
          <w:szCs w:val="22"/>
        </w:rPr>
        <w:t xml:space="preserve"> : ± </w:t>
      </w:r>
      <w:smartTag w:uri="urn:schemas-microsoft-com:office:smarttags" w:element="metricconverter">
        <w:smartTagPr>
          <w:attr w:name="ProductID" w:val="28 kg"/>
        </w:smartTagPr>
        <w:r w:rsidRPr="003A3126">
          <w:rPr>
            <w:rFonts w:asciiTheme="minorHAnsi" w:hAnsiTheme="minorHAnsi" w:cstheme="minorHAnsi"/>
            <w:sz w:val="22"/>
            <w:szCs w:val="22"/>
          </w:rPr>
          <w:t>28 kg</w:t>
        </w:r>
      </w:smartTag>
      <w:r w:rsidRPr="003A3126">
        <w:rPr>
          <w:rFonts w:asciiTheme="minorHAnsi" w:hAnsiTheme="minorHAnsi" w:cstheme="minorHAnsi"/>
          <w:sz w:val="22"/>
          <w:szCs w:val="22"/>
        </w:rPr>
        <w:t xml:space="preserve">. </w:t>
      </w:r>
    </w:p>
    <w:p w:rsidR="00FF5748" w:rsidRPr="003A3126" w:rsidRDefault="00FF5748"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rPr>
        <w:t>Participation aux frais</w:t>
      </w:r>
      <w:r w:rsidRPr="003A3126">
        <w:rPr>
          <w:rFonts w:asciiTheme="minorHAnsi" w:hAnsiTheme="minorHAnsi" w:cstheme="minorHAnsi"/>
          <w:sz w:val="22"/>
          <w:szCs w:val="22"/>
        </w:rPr>
        <w:t xml:space="preserve"> : l'exposition est entièrement gratuite.</w:t>
      </w:r>
    </w:p>
    <w:p w:rsidR="00FF5748" w:rsidRPr="003A3126" w:rsidRDefault="00FF5748"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rPr>
        <w:t>Edition</w:t>
      </w:r>
      <w:r w:rsidRPr="003A3126">
        <w:rPr>
          <w:rFonts w:asciiTheme="minorHAnsi" w:hAnsiTheme="minorHAnsi" w:cstheme="minorHAnsi"/>
          <w:sz w:val="22"/>
          <w:szCs w:val="22"/>
        </w:rPr>
        <w:t xml:space="preserve"> : 2 dossiers pédagogiques sont disponibles gracieusement : </w:t>
      </w:r>
      <w:r w:rsidRPr="007F12E6">
        <w:rPr>
          <w:rFonts w:asciiTheme="minorHAnsi" w:hAnsiTheme="minorHAnsi" w:cstheme="minorHAnsi"/>
          <w:bCs/>
          <w:i/>
          <w:sz w:val="22"/>
          <w:szCs w:val="22"/>
        </w:rPr>
        <w:t>Comprendre les génocides du 20</w:t>
      </w:r>
      <w:r w:rsidR="003A3126" w:rsidRPr="007F12E6">
        <w:rPr>
          <w:rFonts w:asciiTheme="minorHAnsi" w:hAnsiTheme="minorHAnsi" w:cstheme="minorHAnsi"/>
          <w:bCs/>
          <w:i/>
          <w:sz w:val="22"/>
          <w:szCs w:val="22"/>
          <w:vertAlign w:val="superscript"/>
        </w:rPr>
        <w:t>e</w:t>
      </w:r>
      <w:r w:rsidR="003A3126" w:rsidRPr="007F12E6">
        <w:rPr>
          <w:rFonts w:asciiTheme="minorHAnsi" w:hAnsiTheme="minorHAnsi" w:cstheme="minorHAnsi"/>
          <w:bCs/>
          <w:i/>
          <w:sz w:val="22"/>
          <w:szCs w:val="22"/>
        </w:rPr>
        <w:t xml:space="preserve"> </w:t>
      </w:r>
      <w:r w:rsidRPr="007F12E6">
        <w:rPr>
          <w:rFonts w:asciiTheme="minorHAnsi" w:hAnsiTheme="minorHAnsi" w:cstheme="minorHAnsi"/>
          <w:bCs/>
          <w:i/>
          <w:sz w:val="22"/>
          <w:szCs w:val="22"/>
        </w:rPr>
        <w:t xml:space="preserve"> siècle</w:t>
      </w:r>
      <w:r w:rsidRPr="003A3126">
        <w:rPr>
          <w:rFonts w:asciiTheme="minorHAnsi" w:hAnsiTheme="minorHAnsi" w:cstheme="minorHAnsi"/>
          <w:bCs/>
          <w:sz w:val="22"/>
          <w:szCs w:val="22"/>
        </w:rPr>
        <w:t xml:space="preserve"> (Herero, Arméniens, Juifs, Tutsi) et </w:t>
      </w:r>
      <w:r w:rsidRPr="007F12E6">
        <w:rPr>
          <w:rFonts w:asciiTheme="minorHAnsi" w:hAnsiTheme="minorHAnsi" w:cstheme="minorHAnsi"/>
          <w:i/>
          <w:sz w:val="22"/>
          <w:szCs w:val="22"/>
        </w:rPr>
        <w:t>Destins d’enfants juifs survivants en Belgique sous la tourmente nazie</w:t>
      </w:r>
      <w:r w:rsidRPr="003A3126">
        <w:rPr>
          <w:rFonts w:asciiTheme="minorHAnsi" w:hAnsiTheme="minorHAnsi" w:cstheme="minorHAnsi"/>
          <w:sz w:val="22"/>
          <w:szCs w:val="22"/>
        </w:rPr>
        <w:t>. Nombre de brochures souhaitées à déterminer ensemble.</w:t>
      </w:r>
    </w:p>
    <w:p w:rsidR="00FF5748" w:rsidRPr="003A3126" w:rsidRDefault="00FF5748"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rPr>
        <w:t>Transport</w:t>
      </w:r>
      <w:r w:rsidRPr="003A3126">
        <w:rPr>
          <w:rFonts w:asciiTheme="minorHAnsi" w:hAnsiTheme="minorHAnsi" w:cstheme="minorHAnsi"/>
          <w:sz w:val="22"/>
          <w:szCs w:val="22"/>
        </w:rPr>
        <w:t xml:space="preserve"> : enlèvement et retour au CCLJ par vos soins.</w:t>
      </w:r>
    </w:p>
    <w:p w:rsidR="00FF5748" w:rsidRPr="003A3126" w:rsidRDefault="00FF5748" w:rsidP="00C84B6A">
      <w:pPr>
        <w:numPr>
          <w:ilvl w:val="0"/>
          <w:numId w:val="1"/>
        </w:numPr>
        <w:spacing w:line="288" w:lineRule="auto"/>
        <w:rPr>
          <w:rFonts w:asciiTheme="minorHAnsi" w:hAnsiTheme="minorHAnsi" w:cstheme="minorHAnsi"/>
          <w:sz w:val="22"/>
          <w:szCs w:val="22"/>
        </w:rPr>
      </w:pPr>
      <w:r w:rsidRPr="003A3126">
        <w:rPr>
          <w:rFonts w:asciiTheme="minorHAnsi" w:hAnsiTheme="minorHAnsi" w:cstheme="minorHAnsi"/>
          <w:b/>
          <w:sz w:val="22"/>
          <w:szCs w:val="22"/>
          <w:u w:val="single"/>
        </w:rPr>
        <w:t>Contrat de prêt à signer</w:t>
      </w:r>
      <w:r w:rsidRPr="003A3126">
        <w:rPr>
          <w:rFonts w:asciiTheme="minorHAnsi" w:hAnsiTheme="minorHAnsi" w:cstheme="minorHAnsi"/>
          <w:sz w:val="22"/>
          <w:szCs w:val="22"/>
        </w:rPr>
        <w:t>.</w:t>
      </w:r>
    </w:p>
    <w:p w:rsidR="00C84B6A" w:rsidRPr="003A3126" w:rsidRDefault="00C84B6A" w:rsidP="00FF5748">
      <w:pPr>
        <w:rPr>
          <w:rFonts w:asciiTheme="minorHAnsi" w:hAnsiTheme="minorHAnsi" w:cstheme="minorHAnsi"/>
          <w:b/>
          <w:sz w:val="22"/>
          <w:szCs w:val="22"/>
          <w:u w:val="single"/>
        </w:rPr>
      </w:pPr>
    </w:p>
    <w:p w:rsidR="00FF5748" w:rsidRPr="006822F2" w:rsidRDefault="00C84B6A" w:rsidP="00FF5748">
      <w:pPr>
        <w:pBdr>
          <w:top w:val="single" w:sz="4" w:space="1" w:color="auto"/>
          <w:left w:val="single" w:sz="4" w:space="4" w:color="auto"/>
          <w:bottom w:val="single" w:sz="4" w:space="1" w:color="auto"/>
          <w:right w:val="single" w:sz="4" w:space="4" w:color="auto"/>
        </w:pBdr>
        <w:jc w:val="left"/>
        <w:rPr>
          <w:rFonts w:ascii="Mistral" w:hAnsi="Mistral" w:cs="Tahoma"/>
          <w:sz w:val="28"/>
          <w:szCs w:val="28"/>
        </w:rPr>
      </w:pPr>
      <w:r>
        <w:rPr>
          <w:rFonts w:ascii="Mistral" w:hAnsi="Mistral" w:cs="Tahoma"/>
          <w:b/>
          <w:sz w:val="28"/>
          <w:szCs w:val="28"/>
        </w:rPr>
        <w:t>3</w:t>
      </w:r>
      <w:r w:rsidR="00FF5748" w:rsidRPr="006822F2">
        <w:rPr>
          <w:rFonts w:ascii="Mistral" w:hAnsi="Mistral" w:cs="Tahoma"/>
          <w:b/>
          <w:sz w:val="28"/>
          <w:szCs w:val="28"/>
        </w:rPr>
        <w:t>. « LE GENOCIDE DES TUTSI AU RWANDA »</w:t>
      </w:r>
      <w:r w:rsidR="00FF5748">
        <w:rPr>
          <w:rFonts w:ascii="Mistral" w:hAnsi="Mistral" w:cs="Tahoma"/>
          <w:b/>
          <w:sz w:val="28"/>
          <w:szCs w:val="28"/>
        </w:rPr>
        <w:t xml:space="preserve"> </w:t>
      </w:r>
      <w:r w:rsidR="00FF5748">
        <w:rPr>
          <w:noProof/>
          <w:sz w:val="22"/>
          <w:szCs w:val="22"/>
          <w:lang w:val="fr-BE" w:eastAsia="fr-BE"/>
        </w:rPr>
        <w:drawing>
          <wp:inline distT="0" distB="0" distL="0" distR="0">
            <wp:extent cx="323850" cy="323850"/>
            <wp:effectExtent l="0" t="0" r="0" b="0"/>
            <wp:docPr id="1" name="Image 1" descr="Mémorial Sho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émorial Shoa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rsidR="00FF5748" w:rsidRDefault="00FF5748" w:rsidP="00FF5748">
      <w:pPr>
        <w:pStyle w:val="Bullets"/>
        <w:widowControl w:val="0"/>
        <w:ind w:left="0" w:firstLine="0"/>
        <w:rPr>
          <w:sz w:val="22"/>
          <w:szCs w:val="22"/>
        </w:rPr>
      </w:pPr>
    </w:p>
    <w:p w:rsidR="00C84B6A" w:rsidRDefault="00FF5748" w:rsidP="001F4D7E">
      <w:pPr>
        <w:pStyle w:val="Bullets"/>
        <w:widowControl w:val="0"/>
        <w:spacing w:line="288" w:lineRule="auto"/>
        <w:ind w:left="0" w:firstLine="0"/>
        <w:rPr>
          <w:rFonts w:asciiTheme="minorHAnsi" w:hAnsiTheme="minorHAnsi" w:cstheme="minorHAnsi"/>
          <w:sz w:val="22"/>
          <w:szCs w:val="22"/>
        </w:rPr>
      </w:pPr>
      <w:r w:rsidRPr="00C84B6A">
        <w:rPr>
          <w:rFonts w:asciiTheme="minorHAnsi" w:hAnsiTheme="minorHAnsi" w:cstheme="minorHAnsi"/>
          <w:sz w:val="22"/>
          <w:szCs w:val="22"/>
        </w:rPr>
        <w:t>En 1994, en moins de cent jours</w:t>
      </w:r>
      <w:r w:rsidR="004977D1">
        <w:rPr>
          <w:rFonts w:asciiTheme="minorHAnsi" w:hAnsiTheme="minorHAnsi" w:cstheme="minorHAnsi"/>
          <w:sz w:val="22"/>
          <w:szCs w:val="22"/>
        </w:rPr>
        <w:t xml:space="preserve">, </w:t>
      </w:r>
      <w:r w:rsidRPr="00C84B6A">
        <w:rPr>
          <w:rFonts w:asciiTheme="minorHAnsi" w:hAnsiTheme="minorHAnsi" w:cstheme="minorHAnsi"/>
          <w:sz w:val="22"/>
          <w:szCs w:val="22"/>
        </w:rPr>
        <w:t>plus d’un million de personnes étaient exterminées au Rwanda. En hommage aux victimes du plus récent génocide du 20</w:t>
      </w:r>
      <w:r w:rsidR="001F4D7E" w:rsidRPr="001F4D7E">
        <w:rPr>
          <w:rFonts w:asciiTheme="minorHAnsi" w:hAnsiTheme="minorHAnsi" w:cstheme="minorHAnsi"/>
          <w:sz w:val="22"/>
          <w:szCs w:val="22"/>
          <w:vertAlign w:val="superscript"/>
        </w:rPr>
        <w:t>e</w:t>
      </w:r>
      <w:r w:rsidR="001F4D7E">
        <w:rPr>
          <w:rFonts w:asciiTheme="minorHAnsi" w:hAnsiTheme="minorHAnsi" w:cstheme="minorHAnsi"/>
          <w:sz w:val="22"/>
          <w:szCs w:val="22"/>
        </w:rPr>
        <w:t xml:space="preserve"> </w:t>
      </w:r>
      <w:r w:rsidRPr="00C84B6A">
        <w:rPr>
          <w:rFonts w:asciiTheme="minorHAnsi" w:hAnsiTheme="minorHAnsi" w:cstheme="minorHAnsi"/>
          <w:sz w:val="22"/>
          <w:szCs w:val="22"/>
        </w:rPr>
        <w:t xml:space="preserve">siècle et afin d’y sensibiliser le public, le CCLJ propose cette exposition conçue par le </w:t>
      </w:r>
      <w:r w:rsidRPr="00C84B6A">
        <w:rPr>
          <w:rFonts w:asciiTheme="minorHAnsi" w:hAnsiTheme="minorHAnsi" w:cstheme="minorHAnsi"/>
          <w:b/>
          <w:sz w:val="22"/>
          <w:szCs w:val="22"/>
        </w:rPr>
        <w:t xml:space="preserve">Mémorial de </w:t>
      </w:r>
      <w:smartTag w:uri="urn:schemas-microsoft-com:office:smarttags" w:element="PersonName">
        <w:smartTagPr>
          <w:attr w:name="ProductID" w:val="la Shoah"/>
        </w:smartTagPr>
        <w:r w:rsidRPr="00C84B6A">
          <w:rPr>
            <w:rFonts w:asciiTheme="minorHAnsi" w:hAnsiTheme="minorHAnsi" w:cstheme="minorHAnsi"/>
            <w:b/>
            <w:sz w:val="22"/>
            <w:szCs w:val="22"/>
          </w:rPr>
          <w:t>la Shoah</w:t>
        </w:r>
      </w:smartTag>
      <w:r w:rsidRPr="00C84B6A">
        <w:rPr>
          <w:rFonts w:asciiTheme="minorHAnsi" w:hAnsiTheme="minorHAnsi" w:cstheme="minorHAnsi"/>
          <w:sz w:val="22"/>
          <w:szCs w:val="22"/>
        </w:rPr>
        <w:t xml:space="preserve"> en partenariat avec le Conseil Régional Ile-de-France, sous la direction scientifique des historiens Georges Bensoussan, Joël </w:t>
      </w:r>
      <w:proofErr w:type="spellStart"/>
      <w:r w:rsidRPr="00C84B6A">
        <w:rPr>
          <w:rFonts w:asciiTheme="minorHAnsi" w:hAnsiTheme="minorHAnsi" w:cstheme="minorHAnsi"/>
          <w:sz w:val="22"/>
          <w:szCs w:val="22"/>
        </w:rPr>
        <w:t>Kotek</w:t>
      </w:r>
      <w:proofErr w:type="spellEnd"/>
      <w:r w:rsidRPr="00C84B6A">
        <w:rPr>
          <w:rFonts w:asciiTheme="minorHAnsi" w:hAnsiTheme="minorHAnsi" w:cstheme="minorHAnsi"/>
          <w:sz w:val="22"/>
          <w:szCs w:val="22"/>
        </w:rPr>
        <w:t xml:space="preserve"> et Yves </w:t>
      </w:r>
      <w:proofErr w:type="spellStart"/>
      <w:r w:rsidRPr="00C84B6A">
        <w:rPr>
          <w:rFonts w:asciiTheme="minorHAnsi" w:hAnsiTheme="minorHAnsi" w:cstheme="minorHAnsi"/>
          <w:sz w:val="22"/>
          <w:szCs w:val="22"/>
        </w:rPr>
        <w:t>Ternon</w:t>
      </w:r>
      <w:proofErr w:type="spellEnd"/>
      <w:r w:rsidRPr="00C84B6A">
        <w:rPr>
          <w:rFonts w:asciiTheme="minorHAnsi" w:hAnsiTheme="minorHAnsi" w:cstheme="minorHAnsi"/>
          <w:sz w:val="22"/>
          <w:szCs w:val="22"/>
        </w:rPr>
        <w:t xml:space="preserve">. </w:t>
      </w:r>
    </w:p>
    <w:p w:rsidR="00C84B6A" w:rsidRPr="00C84B6A" w:rsidRDefault="001F4D7E" w:rsidP="001F4D7E">
      <w:pPr>
        <w:pStyle w:val="Bullets"/>
        <w:widowControl w:val="0"/>
        <w:spacing w:line="288" w:lineRule="auto"/>
        <w:ind w:left="0" w:firstLine="0"/>
        <w:rPr>
          <w:rFonts w:asciiTheme="minorHAnsi" w:hAnsiTheme="minorHAnsi" w:cstheme="minorHAnsi"/>
          <w:sz w:val="22"/>
          <w:szCs w:val="22"/>
        </w:rPr>
      </w:pPr>
      <w:r w:rsidRPr="001F4D7E">
        <w:rPr>
          <w:rFonts w:ascii="Tahoma" w:hAnsi="Tahoma" w:cs="Tahoma"/>
          <w:b/>
          <w:color w:val="808080" w:themeColor="background1" w:themeShade="80"/>
          <w:sz w:val="20"/>
          <w:szCs w:val="20"/>
          <w:u w:val="single"/>
        </w:rPr>
        <w:t>Public cible :</w:t>
      </w:r>
      <w:r w:rsidRPr="001F4D7E">
        <w:rPr>
          <w:rFonts w:asciiTheme="minorHAnsi" w:hAnsiTheme="minorHAnsi" w:cstheme="minorHAnsi"/>
          <w:b/>
          <w:color w:val="808080" w:themeColor="background1" w:themeShade="80"/>
          <w:sz w:val="22"/>
          <w:szCs w:val="22"/>
        </w:rPr>
        <w:t xml:space="preserve"> </w:t>
      </w:r>
      <w:r w:rsidR="00C84B6A" w:rsidRPr="00C84B6A">
        <w:rPr>
          <w:rFonts w:asciiTheme="minorHAnsi" w:hAnsiTheme="minorHAnsi" w:cstheme="minorHAnsi"/>
          <w:sz w:val="22"/>
          <w:szCs w:val="22"/>
        </w:rPr>
        <w:t>étudiants de l’enseignement secondaire</w:t>
      </w:r>
      <w:r>
        <w:rPr>
          <w:rFonts w:asciiTheme="minorHAnsi" w:hAnsiTheme="minorHAnsi" w:cstheme="minorHAnsi"/>
          <w:sz w:val="22"/>
          <w:szCs w:val="22"/>
        </w:rPr>
        <w:t xml:space="preserve"> supérieur</w:t>
      </w:r>
      <w:r w:rsidR="00C84B6A" w:rsidRPr="00C84B6A">
        <w:rPr>
          <w:rFonts w:asciiTheme="minorHAnsi" w:hAnsiTheme="minorHAnsi" w:cstheme="minorHAnsi"/>
          <w:sz w:val="22"/>
          <w:szCs w:val="22"/>
        </w:rPr>
        <w:t xml:space="preserve"> (1</w:t>
      </w:r>
      <w:r>
        <w:rPr>
          <w:rFonts w:asciiTheme="minorHAnsi" w:hAnsiTheme="minorHAnsi" w:cstheme="minorHAnsi"/>
          <w:sz w:val="22"/>
          <w:szCs w:val="22"/>
        </w:rPr>
        <w:t>5</w:t>
      </w:r>
      <w:r w:rsidR="00C84B6A" w:rsidRPr="00C84B6A">
        <w:rPr>
          <w:rFonts w:asciiTheme="minorHAnsi" w:hAnsiTheme="minorHAnsi" w:cstheme="minorHAnsi"/>
          <w:sz w:val="22"/>
          <w:szCs w:val="22"/>
        </w:rPr>
        <w:t xml:space="preserve"> à 18 ans), adolescents et adultes.</w:t>
      </w:r>
    </w:p>
    <w:p w:rsidR="001F4D7E" w:rsidRPr="001F4D7E" w:rsidRDefault="001F4D7E" w:rsidP="001F4D7E">
      <w:pPr>
        <w:spacing w:line="288" w:lineRule="auto"/>
        <w:rPr>
          <w:rFonts w:ascii="Tahoma" w:hAnsi="Tahoma" w:cs="Tahoma"/>
          <w:b/>
          <w:color w:val="808080" w:themeColor="background1" w:themeShade="80"/>
          <w:sz w:val="20"/>
          <w:szCs w:val="20"/>
          <w:u w:val="single"/>
        </w:rPr>
      </w:pPr>
      <w:r w:rsidRPr="001F4D7E">
        <w:rPr>
          <w:rFonts w:ascii="Tahoma" w:hAnsi="Tahoma" w:cs="Tahoma"/>
          <w:b/>
          <w:color w:val="808080" w:themeColor="background1" w:themeShade="80"/>
          <w:sz w:val="20"/>
          <w:szCs w:val="20"/>
          <w:u w:val="single"/>
        </w:rPr>
        <w:t>Description et conditions générales :</w:t>
      </w:r>
    </w:p>
    <w:p w:rsidR="00FF5748" w:rsidRPr="00C84B6A" w:rsidRDefault="00FF5748" w:rsidP="001F4D7E">
      <w:pPr>
        <w:numPr>
          <w:ilvl w:val="0"/>
          <w:numId w:val="1"/>
        </w:numPr>
        <w:spacing w:line="288" w:lineRule="auto"/>
        <w:rPr>
          <w:rFonts w:asciiTheme="minorHAnsi" w:hAnsiTheme="minorHAnsi" w:cstheme="minorHAnsi"/>
          <w:sz w:val="22"/>
          <w:szCs w:val="22"/>
        </w:rPr>
      </w:pPr>
      <w:r w:rsidRPr="00C84B6A">
        <w:rPr>
          <w:rFonts w:asciiTheme="minorHAnsi" w:hAnsiTheme="minorHAnsi" w:cstheme="minorHAnsi"/>
          <w:b/>
          <w:sz w:val="22"/>
          <w:szCs w:val="22"/>
        </w:rPr>
        <w:t>Composition de l’exposition</w:t>
      </w:r>
      <w:r w:rsidRPr="00C84B6A">
        <w:rPr>
          <w:rFonts w:asciiTheme="minorHAnsi" w:hAnsiTheme="minorHAnsi" w:cstheme="minorHAnsi"/>
          <w:sz w:val="22"/>
          <w:szCs w:val="22"/>
        </w:rPr>
        <w:t xml:space="preserve"> : 14 panneaux en couleurs de </w:t>
      </w:r>
      <w:smartTag w:uri="urn:schemas-microsoft-com:office:smarttags" w:element="metricconverter">
        <w:smartTagPr>
          <w:attr w:name="ProductID" w:val="95 cm"/>
        </w:smartTagPr>
        <w:r w:rsidRPr="00C84B6A">
          <w:rPr>
            <w:rFonts w:asciiTheme="minorHAnsi" w:hAnsiTheme="minorHAnsi" w:cstheme="minorHAnsi"/>
            <w:sz w:val="22"/>
            <w:szCs w:val="22"/>
          </w:rPr>
          <w:t>95 cm</w:t>
        </w:r>
      </w:smartTag>
      <w:r w:rsidRPr="00C84B6A">
        <w:rPr>
          <w:rFonts w:asciiTheme="minorHAnsi" w:hAnsiTheme="minorHAnsi" w:cstheme="minorHAnsi"/>
          <w:sz w:val="22"/>
          <w:szCs w:val="22"/>
        </w:rPr>
        <w:t xml:space="preserve"> (hauteur) sur </w:t>
      </w:r>
      <w:smartTag w:uri="urn:schemas-microsoft-com:office:smarttags" w:element="metricconverter">
        <w:smartTagPr>
          <w:attr w:name="ProductID" w:val="65 cm"/>
        </w:smartTagPr>
        <w:r w:rsidRPr="00C84B6A">
          <w:rPr>
            <w:rFonts w:asciiTheme="minorHAnsi" w:hAnsiTheme="minorHAnsi" w:cstheme="minorHAnsi"/>
            <w:sz w:val="22"/>
            <w:szCs w:val="22"/>
          </w:rPr>
          <w:t>65 cm</w:t>
        </w:r>
      </w:smartTag>
      <w:r w:rsidRPr="00C84B6A">
        <w:rPr>
          <w:rFonts w:asciiTheme="minorHAnsi" w:hAnsiTheme="minorHAnsi" w:cstheme="minorHAnsi"/>
          <w:sz w:val="22"/>
          <w:szCs w:val="22"/>
        </w:rPr>
        <w:t xml:space="preserve"> (largeur).</w:t>
      </w:r>
    </w:p>
    <w:p w:rsidR="00FF5748" w:rsidRPr="00C84B6A" w:rsidRDefault="00FF5748" w:rsidP="001F4D7E">
      <w:pPr>
        <w:numPr>
          <w:ilvl w:val="0"/>
          <w:numId w:val="1"/>
        </w:numPr>
        <w:spacing w:line="288" w:lineRule="auto"/>
        <w:rPr>
          <w:rFonts w:asciiTheme="minorHAnsi" w:hAnsiTheme="minorHAnsi" w:cstheme="minorHAnsi"/>
          <w:sz w:val="22"/>
          <w:szCs w:val="22"/>
        </w:rPr>
      </w:pPr>
      <w:r w:rsidRPr="00C84B6A">
        <w:rPr>
          <w:rFonts w:asciiTheme="minorHAnsi" w:hAnsiTheme="minorHAnsi" w:cstheme="minorHAnsi"/>
          <w:b/>
          <w:sz w:val="22"/>
          <w:szCs w:val="22"/>
        </w:rPr>
        <w:t>Participation aux frais</w:t>
      </w:r>
      <w:r w:rsidRPr="00C84B6A">
        <w:rPr>
          <w:rFonts w:asciiTheme="minorHAnsi" w:hAnsiTheme="minorHAnsi" w:cstheme="minorHAnsi"/>
          <w:sz w:val="22"/>
          <w:szCs w:val="22"/>
        </w:rPr>
        <w:t xml:space="preserve"> : l'exposition est entièrement gratuite.</w:t>
      </w:r>
    </w:p>
    <w:p w:rsidR="00FF5748" w:rsidRPr="00C84B6A" w:rsidRDefault="00FF5748" w:rsidP="001F4D7E">
      <w:pPr>
        <w:numPr>
          <w:ilvl w:val="0"/>
          <w:numId w:val="1"/>
        </w:numPr>
        <w:spacing w:line="288" w:lineRule="auto"/>
        <w:rPr>
          <w:rFonts w:asciiTheme="minorHAnsi" w:hAnsiTheme="minorHAnsi" w:cstheme="minorHAnsi"/>
          <w:sz w:val="22"/>
          <w:szCs w:val="22"/>
        </w:rPr>
      </w:pPr>
      <w:r w:rsidRPr="00C84B6A">
        <w:rPr>
          <w:rFonts w:asciiTheme="minorHAnsi" w:hAnsiTheme="minorHAnsi" w:cstheme="minorHAnsi"/>
          <w:b/>
          <w:sz w:val="22"/>
          <w:szCs w:val="22"/>
        </w:rPr>
        <w:t>Edition</w:t>
      </w:r>
      <w:r w:rsidRPr="00C84B6A">
        <w:rPr>
          <w:rFonts w:asciiTheme="minorHAnsi" w:hAnsiTheme="minorHAnsi" w:cstheme="minorHAnsi"/>
          <w:sz w:val="22"/>
          <w:szCs w:val="22"/>
        </w:rPr>
        <w:t xml:space="preserve"> : 1 dossier pédagogique est disponible : </w:t>
      </w:r>
      <w:r w:rsidRPr="009B0C12">
        <w:rPr>
          <w:rFonts w:asciiTheme="minorHAnsi" w:hAnsiTheme="minorHAnsi" w:cstheme="minorHAnsi"/>
          <w:bCs/>
          <w:i/>
          <w:sz w:val="22"/>
          <w:szCs w:val="22"/>
        </w:rPr>
        <w:t>Comprendre les génocides du 20</w:t>
      </w:r>
      <w:r w:rsidR="00910778" w:rsidRPr="009B0C12">
        <w:rPr>
          <w:rFonts w:asciiTheme="minorHAnsi" w:hAnsiTheme="minorHAnsi" w:cstheme="minorHAnsi"/>
          <w:bCs/>
          <w:i/>
          <w:sz w:val="22"/>
          <w:szCs w:val="22"/>
          <w:vertAlign w:val="superscript"/>
        </w:rPr>
        <w:t>e</w:t>
      </w:r>
      <w:r w:rsidRPr="009B0C12">
        <w:rPr>
          <w:rFonts w:asciiTheme="minorHAnsi" w:hAnsiTheme="minorHAnsi" w:cstheme="minorHAnsi"/>
          <w:bCs/>
          <w:i/>
          <w:sz w:val="22"/>
          <w:szCs w:val="22"/>
        </w:rPr>
        <w:t xml:space="preserve"> </w:t>
      </w:r>
      <w:r w:rsidR="009B0C12">
        <w:rPr>
          <w:rFonts w:asciiTheme="minorHAnsi" w:hAnsiTheme="minorHAnsi" w:cstheme="minorHAnsi"/>
          <w:bCs/>
          <w:i/>
          <w:sz w:val="22"/>
          <w:szCs w:val="22"/>
        </w:rPr>
        <w:t>siècle</w:t>
      </w:r>
      <w:r w:rsidRPr="00C84B6A">
        <w:rPr>
          <w:rFonts w:asciiTheme="minorHAnsi" w:hAnsiTheme="minorHAnsi" w:cstheme="minorHAnsi"/>
          <w:bCs/>
          <w:sz w:val="22"/>
          <w:szCs w:val="22"/>
        </w:rPr>
        <w:t>.</w:t>
      </w:r>
      <w:r w:rsidRPr="00C84B6A">
        <w:rPr>
          <w:rFonts w:asciiTheme="minorHAnsi" w:hAnsiTheme="minorHAnsi" w:cstheme="minorHAnsi"/>
          <w:sz w:val="22"/>
          <w:szCs w:val="22"/>
        </w:rPr>
        <w:t xml:space="preserve"> Nombre de brochures souhaitées à déterminer ensemble.</w:t>
      </w:r>
    </w:p>
    <w:p w:rsidR="00FF5748" w:rsidRPr="00C84B6A" w:rsidRDefault="00FF5748" w:rsidP="001F4D7E">
      <w:pPr>
        <w:numPr>
          <w:ilvl w:val="0"/>
          <w:numId w:val="1"/>
        </w:numPr>
        <w:spacing w:line="288" w:lineRule="auto"/>
        <w:rPr>
          <w:rFonts w:asciiTheme="minorHAnsi" w:hAnsiTheme="minorHAnsi" w:cstheme="minorHAnsi"/>
          <w:sz w:val="22"/>
          <w:szCs w:val="22"/>
        </w:rPr>
      </w:pPr>
      <w:r w:rsidRPr="00C84B6A">
        <w:rPr>
          <w:rFonts w:asciiTheme="minorHAnsi" w:hAnsiTheme="minorHAnsi" w:cstheme="minorHAnsi"/>
          <w:b/>
          <w:sz w:val="22"/>
          <w:szCs w:val="22"/>
        </w:rPr>
        <w:t>Transport</w:t>
      </w:r>
      <w:r w:rsidRPr="00C84B6A">
        <w:rPr>
          <w:rFonts w:asciiTheme="minorHAnsi" w:hAnsiTheme="minorHAnsi" w:cstheme="minorHAnsi"/>
          <w:sz w:val="22"/>
          <w:szCs w:val="22"/>
        </w:rPr>
        <w:t xml:space="preserve"> : enlèvement et retour au CCLJ par vos soins.</w:t>
      </w:r>
    </w:p>
    <w:p w:rsidR="00FF5748" w:rsidRPr="00C84B6A" w:rsidRDefault="00FF5748" w:rsidP="001F4D7E">
      <w:pPr>
        <w:numPr>
          <w:ilvl w:val="0"/>
          <w:numId w:val="1"/>
        </w:numPr>
        <w:spacing w:line="288" w:lineRule="auto"/>
        <w:rPr>
          <w:rFonts w:asciiTheme="minorHAnsi" w:hAnsiTheme="minorHAnsi" w:cstheme="minorHAnsi"/>
          <w:sz w:val="22"/>
          <w:szCs w:val="22"/>
        </w:rPr>
      </w:pPr>
      <w:r w:rsidRPr="00C84B6A">
        <w:rPr>
          <w:rFonts w:asciiTheme="minorHAnsi" w:hAnsiTheme="minorHAnsi" w:cstheme="minorHAnsi"/>
          <w:b/>
          <w:sz w:val="22"/>
          <w:szCs w:val="22"/>
          <w:u w:val="single"/>
        </w:rPr>
        <w:t>Contrat de prêt à signer</w:t>
      </w:r>
      <w:r w:rsidRPr="00C84B6A">
        <w:rPr>
          <w:rFonts w:asciiTheme="minorHAnsi" w:hAnsiTheme="minorHAnsi" w:cstheme="minorHAnsi"/>
          <w:sz w:val="22"/>
          <w:szCs w:val="22"/>
        </w:rPr>
        <w:t>.</w:t>
      </w:r>
    </w:p>
    <w:p w:rsidR="00FF5748" w:rsidRDefault="00FF5748" w:rsidP="00FF5748">
      <w:pPr>
        <w:rPr>
          <w:rFonts w:cs="Tahoma"/>
          <w:sz w:val="22"/>
          <w:szCs w:val="22"/>
        </w:rPr>
      </w:pPr>
    </w:p>
    <w:p w:rsidR="00FF5748" w:rsidRPr="006822F2" w:rsidRDefault="00C84B6A" w:rsidP="00FF5748">
      <w:pPr>
        <w:pBdr>
          <w:top w:val="single" w:sz="4" w:space="1" w:color="auto"/>
          <w:left w:val="single" w:sz="4" w:space="4" w:color="auto"/>
          <w:bottom w:val="single" w:sz="4" w:space="1" w:color="auto"/>
          <w:right w:val="single" w:sz="4" w:space="4" w:color="auto"/>
        </w:pBdr>
        <w:jc w:val="left"/>
        <w:rPr>
          <w:rFonts w:cs="Tahoma"/>
          <w:caps/>
          <w:sz w:val="28"/>
          <w:szCs w:val="28"/>
        </w:rPr>
      </w:pPr>
      <w:r>
        <w:rPr>
          <w:rFonts w:ascii="Mistral" w:hAnsi="Mistral" w:cs="Tahoma"/>
          <w:b/>
          <w:caps/>
          <w:sz w:val="28"/>
          <w:szCs w:val="28"/>
        </w:rPr>
        <w:t>4</w:t>
      </w:r>
      <w:r w:rsidR="00FF5748" w:rsidRPr="006822F2">
        <w:rPr>
          <w:rFonts w:ascii="Mistral" w:hAnsi="Mistral" w:cs="Tahoma"/>
          <w:b/>
          <w:caps/>
          <w:sz w:val="28"/>
          <w:szCs w:val="28"/>
        </w:rPr>
        <w:t>. « </w:t>
      </w:r>
      <w:r w:rsidR="00FF5748">
        <w:rPr>
          <w:rFonts w:ascii="Mistral" w:hAnsi="Mistral" w:cs="Tahoma"/>
          <w:b/>
          <w:caps/>
          <w:sz w:val="28"/>
          <w:szCs w:val="28"/>
        </w:rPr>
        <w:t>LE GENOCIDE DES ARMENIENS</w:t>
      </w:r>
      <w:r w:rsidR="00FF5748" w:rsidRPr="006822F2">
        <w:rPr>
          <w:rFonts w:ascii="Mistral" w:hAnsi="Mistral" w:cs="Tahoma"/>
          <w:b/>
          <w:caps/>
          <w:sz w:val="28"/>
          <w:szCs w:val="28"/>
        </w:rPr>
        <w:t xml:space="preserve"> » </w:t>
      </w:r>
    </w:p>
    <w:p w:rsidR="00FF5748" w:rsidRDefault="00FF5748" w:rsidP="00FF5748">
      <w:pPr>
        <w:jc w:val="left"/>
        <w:rPr>
          <w:b/>
          <w:u w:val="single"/>
        </w:rPr>
      </w:pPr>
    </w:p>
    <w:p w:rsidR="00910778" w:rsidRPr="00910778" w:rsidRDefault="00910778" w:rsidP="00910778">
      <w:pPr>
        <w:spacing w:line="288" w:lineRule="auto"/>
        <w:rPr>
          <w:rFonts w:asciiTheme="minorHAnsi" w:hAnsiTheme="minorHAnsi" w:cstheme="minorHAnsi"/>
          <w:sz w:val="22"/>
          <w:szCs w:val="22"/>
        </w:rPr>
      </w:pPr>
      <w:r w:rsidRPr="00910778">
        <w:rPr>
          <w:rFonts w:asciiTheme="minorHAnsi" w:hAnsiTheme="minorHAnsi" w:cstheme="minorHAnsi"/>
          <w:sz w:val="22"/>
          <w:szCs w:val="22"/>
        </w:rPr>
        <w:t>Entre 1915 et 1916, 75% des deux millions d’Arméniens de l’Empire ottoman sont assassinés. L’exposition définit la notion de génocide et rappelle que le 20</w:t>
      </w:r>
      <w:r w:rsidRPr="00910778">
        <w:rPr>
          <w:rFonts w:asciiTheme="minorHAnsi" w:hAnsiTheme="minorHAnsi" w:cstheme="minorHAnsi"/>
          <w:sz w:val="22"/>
          <w:szCs w:val="22"/>
          <w:vertAlign w:val="superscript"/>
        </w:rPr>
        <w:t>e</w:t>
      </w:r>
      <w:r w:rsidRPr="00910778">
        <w:rPr>
          <w:rFonts w:asciiTheme="minorHAnsi" w:hAnsiTheme="minorHAnsi" w:cstheme="minorHAnsi"/>
          <w:sz w:val="22"/>
          <w:szCs w:val="22"/>
        </w:rPr>
        <w:t xml:space="preserve"> siècle en connut quatre : les Herero (1904), les Arméniens (1915), les Juifs (1941) et les Tutsi (1994). Elle retrace l’historique du deuxième génocide du 20</w:t>
      </w:r>
      <w:r w:rsidRPr="00910778">
        <w:rPr>
          <w:rFonts w:asciiTheme="minorHAnsi" w:hAnsiTheme="minorHAnsi" w:cstheme="minorHAnsi"/>
          <w:sz w:val="22"/>
          <w:szCs w:val="22"/>
          <w:vertAlign w:val="superscript"/>
        </w:rPr>
        <w:t>e</w:t>
      </w:r>
      <w:r w:rsidRPr="00910778">
        <w:rPr>
          <w:rFonts w:asciiTheme="minorHAnsi" w:hAnsiTheme="minorHAnsi" w:cstheme="minorHAnsi"/>
          <w:sz w:val="22"/>
          <w:szCs w:val="22"/>
        </w:rPr>
        <w:t xml:space="preserve"> siècle : des massacres </w:t>
      </w:r>
      <w:proofErr w:type="spellStart"/>
      <w:r w:rsidRPr="00910778">
        <w:rPr>
          <w:rFonts w:asciiTheme="minorHAnsi" w:hAnsiTheme="minorHAnsi" w:cstheme="minorHAnsi"/>
          <w:sz w:val="22"/>
          <w:szCs w:val="22"/>
        </w:rPr>
        <w:t>hamidiens</w:t>
      </w:r>
      <w:proofErr w:type="spellEnd"/>
      <w:r w:rsidRPr="00910778">
        <w:rPr>
          <w:rFonts w:asciiTheme="minorHAnsi" w:hAnsiTheme="minorHAnsi" w:cstheme="minorHAnsi"/>
          <w:sz w:val="22"/>
          <w:szCs w:val="22"/>
        </w:rPr>
        <w:t xml:space="preserve"> de </w:t>
      </w:r>
      <w:r>
        <w:rPr>
          <w:rFonts w:asciiTheme="minorHAnsi" w:hAnsiTheme="minorHAnsi" w:cstheme="minorHAnsi"/>
          <w:sz w:val="22"/>
          <w:szCs w:val="22"/>
        </w:rPr>
        <w:t>1894</w:t>
      </w:r>
      <w:r w:rsidRPr="00910778">
        <w:rPr>
          <w:rFonts w:asciiTheme="minorHAnsi" w:hAnsiTheme="minorHAnsi" w:cstheme="minorHAnsi"/>
          <w:sz w:val="22"/>
          <w:szCs w:val="22"/>
        </w:rPr>
        <w:t xml:space="preserve"> au 24 avril 1915, date à laquelle débute « officiellement » l’extermination des Arméniens. La destruction du peuple arménien est illustrée par des documents photographiques et des témoignages d’époque. Les rares survivants sont évoqués par leurs descendants belges ou vivants en Belgique : Marie </w:t>
      </w:r>
      <w:proofErr w:type="spellStart"/>
      <w:r w:rsidRPr="00910778">
        <w:rPr>
          <w:rFonts w:asciiTheme="minorHAnsi" w:hAnsiTheme="minorHAnsi" w:cstheme="minorHAnsi"/>
          <w:sz w:val="22"/>
          <w:szCs w:val="22"/>
        </w:rPr>
        <w:t>Lous</w:t>
      </w:r>
      <w:proofErr w:type="spellEnd"/>
      <w:r w:rsidRPr="00910778">
        <w:rPr>
          <w:rFonts w:asciiTheme="minorHAnsi" w:hAnsiTheme="minorHAnsi" w:cstheme="minorHAnsi"/>
          <w:sz w:val="22"/>
          <w:szCs w:val="22"/>
        </w:rPr>
        <w:t xml:space="preserve"> </w:t>
      </w:r>
      <w:proofErr w:type="spellStart"/>
      <w:r w:rsidRPr="00910778">
        <w:rPr>
          <w:rFonts w:asciiTheme="minorHAnsi" w:hAnsiTheme="minorHAnsi" w:cstheme="minorHAnsi"/>
          <w:sz w:val="22"/>
          <w:szCs w:val="22"/>
        </w:rPr>
        <w:t>Baronian</w:t>
      </w:r>
      <w:proofErr w:type="spellEnd"/>
      <w:r w:rsidRPr="00910778">
        <w:rPr>
          <w:rFonts w:asciiTheme="minorHAnsi" w:hAnsiTheme="minorHAnsi" w:cstheme="minorHAnsi"/>
          <w:sz w:val="22"/>
          <w:szCs w:val="22"/>
        </w:rPr>
        <w:t xml:space="preserve">, </w:t>
      </w:r>
      <w:proofErr w:type="spellStart"/>
      <w:r w:rsidRPr="00910778">
        <w:rPr>
          <w:rFonts w:asciiTheme="minorHAnsi" w:hAnsiTheme="minorHAnsi" w:cstheme="minorHAnsi"/>
          <w:sz w:val="22"/>
          <w:szCs w:val="22"/>
        </w:rPr>
        <w:t>Mher</w:t>
      </w:r>
      <w:proofErr w:type="spellEnd"/>
      <w:r w:rsidRPr="00910778">
        <w:rPr>
          <w:rFonts w:asciiTheme="minorHAnsi" w:hAnsiTheme="minorHAnsi" w:cstheme="minorHAnsi"/>
          <w:sz w:val="22"/>
          <w:szCs w:val="22"/>
        </w:rPr>
        <w:t xml:space="preserve"> </w:t>
      </w:r>
      <w:proofErr w:type="spellStart"/>
      <w:r w:rsidRPr="00910778">
        <w:rPr>
          <w:rFonts w:asciiTheme="minorHAnsi" w:hAnsiTheme="minorHAnsi" w:cstheme="minorHAnsi"/>
          <w:sz w:val="22"/>
          <w:szCs w:val="22"/>
        </w:rPr>
        <w:t>Ghlejyan</w:t>
      </w:r>
      <w:proofErr w:type="spellEnd"/>
      <w:r w:rsidRPr="00910778">
        <w:rPr>
          <w:rFonts w:asciiTheme="minorHAnsi" w:hAnsiTheme="minorHAnsi" w:cstheme="minorHAnsi"/>
          <w:sz w:val="22"/>
          <w:szCs w:val="22"/>
        </w:rPr>
        <w:t xml:space="preserve">, Isabelle J., Roland </w:t>
      </w:r>
      <w:proofErr w:type="spellStart"/>
      <w:r w:rsidRPr="00910778">
        <w:rPr>
          <w:rFonts w:asciiTheme="minorHAnsi" w:hAnsiTheme="minorHAnsi" w:cstheme="minorHAnsi"/>
          <w:sz w:val="22"/>
          <w:szCs w:val="22"/>
        </w:rPr>
        <w:t>Tavitian</w:t>
      </w:r>
      <w:proofErr w:type="spellEnd"/>
      <w:r w:rsidRPr="00910778">
        <w:rPr>
          <w:rFonts w:asciiTheme="minorHAnsi" w:hAnsiTheme="minorHAnsi" w:cstheme="minorHAnsi"/>
          <w:sz w:val="22"/>
          <w:szCs w:val="22"/>
        </w:rPr>
        <w:t xml:space="preserve">, </w:t>
      </w:r>
      <w:proofErr w:type="spellStart"/>
      <w:r w:rsidRPr="00910778">
        <w:rPr>
          <w:rFonts w:asciiTheme="minorHAnsi" w:hAnsiTheme="minorHAnsi" w:cstheme="minorHAnsi"/>
          <w:sz w:val="22"/>
          <w:szCs w:val="22"/>
        </w:rPr>
        <w:t>Antranig</w:t>
      </w:r>
      <w:proofErr w:type="spellEnd"/>
      <w:r w:rsidRPr="00910778">
        <w:rPr>
          <w:rFonts w:asciiTheme="minorHAnsi" w:hAnsiTheme="minorHAnsi" w:cstheme="minorHAnsi"/>
          <w:sz w:val="22"/>
          <w:szCs w:val="22"/>
        </w:rPr>
        <w:t xml:space="preserve"> </w:t>
      </w:r>
      <w:proofErr w:type="spellStart"/>
      <w:r w:rsidRPr="00910778">
        <w:rPr>
          <w:rFonts w:asciiTheme="minorHAnsi" w:hAnsiTheme="minorHAnsi" w:cstheme="minorHAnsi"/>
          <w:sz w:val="22"/>
          <w:szCs w:val="22"/>
        </w:rPr>
        <w:t>Zarmanian</w:t>
      </w:r>
      <w:proofErr w:type="spellEnd"/>
      <w:r w:rsidRPr="00910778">
        <w:rPr>
          <w:rFonts w:asciiTheme="minorHAnsi" w:hAnsiTheme="minorHAnsi" w:cstheme="minorHAnsi"/>
          <w:sz w:val="22"/>
          <w:szCs w:val="22"/>
        </w:rPr>
        <w:t xml:space="preserve"> et X, membres de la communauté arménienne de Belgique, racontent le vécu de leurs parents ou grands-parents et livrent leurs parcours et leurs réflexions face à cet héritage particulier.  A cette première lecture s’ajoute celle des treize planches extraites de la bande dessinée de Paolo </w:t>
      </w:r>
      <w:proofErr w:type="spellStart"/>
      <w:r w:rsidRPr="00910778">
        <w:rPr>
          <w:rFonts w:asciiTheme="minorHAnsi" w:hAnsiTheme="minorHAnsi" w:cstheme="minorHAnsi"/>
          <w:sz w:val="22"/>
          <w:szCs w:val="22"/>
        </w:rPr>
        <w:t>Cossi</w:t>
      </w:r>
      <w:proofErr w:type="spellEnd"/>
      <w:r w:rsidRPr="00910778">
        <w:rPr>
          <w:rFonts w:asciiTheme="minorHAnsi" w:hAnsiTheme="minorHAnsi" w:cstheme="minorHAnsi"/>
          <w:sz w:val="22"/>
          <w:szCs w:val="22"/>
        </w:rPr>
        <w:t xml:space="preserve">, </w:t>
      </w:r>
      <w:proofErr w:type="spellStart"/>
      <w:r w:rsidRPr="00910778">
        <w:rPr>
          <w:rFonts w:asciiTheme="minorHAnsi" w:hAnsiTheme="minorHAnsi" w:cstheme="minorHAnsi"/>
          <w:i/>
          <w:sz w:val="22"/>
          <w:szCs w:val="22"/>
        </w:rPr>
        <w:t>Medz</w:t>
      </w:r>
      <w:proofErr w:type="spellEnd"/>
      <w:r w:rsidRPr="00910778">
        <w:rPr>
          <w:rFonts w:asciiTheme="minorHAnsi" w:hAnsiTheme="minorHAnsi" w:cstheme="minorHAnsi"/>
          <w:i/>
          <w:sz w:val="22"/>
          <w:szCs w:val="22"/>
        </w:rPr>
        <w:t xml:space="preserve"> </w:t>
      </w:r>
      <w:proofErr w:type="spellStart"/>
      <w:r w:rsidRPr="00910778">
        <w:rPr>
          <w:rFonts w:asciiTheme="minorHAnsi" w:hAnsiTheme="minorHAnsi" w:cstheme="minorHAnsi"/>
          <w:i/>
          <w:sz w:val="22"/>
          <w:szCs w:val="22"/>
        </w:rPr>
        <w:t>Yeghern</w:t>
      </w:r>
      <w:proofErr w:type="spellEnd"/>
      <w:r w:rsidRPr="00910778">
        <w:rPr>
          <w:rFonts w:asciiTheme="minorHAnsi" w:hAnsiTheme="minorHAnsi" w:cstheme="minorHAnsi"/>
          <w:i/>
          <w:sz w:val="22"/>
          <w:szCs w:val="22"/>
        </w:rPr>
        <w:t xml:space="preserve"> – Le Grand mal</w:t>
      </w:r>
      <w:r w:rsidRPr="00910778">
        <w:rPr>
          <w:rFonts w:asciiTheme="minorHAnsi" w:hAnsiTheme="minorHAnsi" w:cstheme="minorHAnsi"/>
          <w:sz w:val="22"/>
          <w:szCs w:val="22"/>
        </w:rPr>
        <w:t xml:space="preserve">, parue aux Editions Dargaud. </w:t>
      </w:r>
    </w:p>
    <w:p w:rsidR="00910778" w:rsidRPr="00C84B6A" w:rsidRDefault="00910778" w:rsidP="00910778">
      <w:pPr>
        <w:pStyle w:val="Bullets"/>
        <w:widowControl w:val="0"/>
        <w:spacing w:line="288" w:lineRule="auto"/>
        <w:ind w:left="0" w:firstLine="0"/>
        <w:rPr>
          <w:rFonts w:asciiTheme="minorHAnsi" w:hAnsiTheme="minorHAnsi" w:cstheme="minorHAnsi"/>
          <w:sz w:val="22"/>
          <w:szCs w:val="22"/>
        </w:rPr>
      </w:pPr>
      <w:r w:rsidRPr="001F4D7E">
        <w:rPr>
          <w:rFonts w:ascii="Tahoma" w:hAnsi="Tahoma" w:cs="Tahoma"/>
          <w:b/>
          <w:color w:val="808080" w:themeColor="background1" w:themeShade="80"/>
          <w:sz w:val="20"/>
          <w:szCs w:val="20"/>
          <w:u w:val="single"/>
        </w:rPr>
        <w:t>Public cible :</w:t>
      </w:r>
      <w:r w:rsidRPr="001F4D7E">
        <w:rPr>
          <w:rFonts w:asciiTheme="minorHAnsi" w:hAnsiTheme="minorHAnsi" w:cstheme="minorHAnsi"/>
          <w:b/>
          <w:color w:val="808080" w:themeColor="background1" w:themeShade="80"/>
          <w:sz w:val="22"/>
          <w:szCs w:val="22"/>
        </w:rPr>
        <w:t xml:space="preserve"> </w:t>
      </w:r>
      <w:r w:rsidRPr="00C84B6A">
        <w:rPr>
          <w:rFonts w:asciiTheme="minorHAnsi" w:hAnsiTheme="minorHAnsi" w:cstheme="minorHAnsi"/>
          <w:sz w:val="22"/>
          <w:szCs w:val="22"/>
        </w:rPr>
        <w:t>étudiants de l’enseignement secondaire</w:t>
      </w:r>
      <w:r>
        <w:rPr>
          <w:rFonts w:asciiTheme="minorHAnsi" w:hAnsiTheme="minorHAnsi" w:cstheme="minorHAnsi"/>
          <w:sz w:val="22"/>
          <w:szCs w:val="22"/>
        </w:rPr>
        <w:t xml:space="preserve"> supérieur</w:t>
      </w:r>
      <w:r w:rsidRPr="00C84B6A">
        <w:rPr>
          <w:rFonts w:asciiTheme="minorHAnsi" w:hAnsiTheme="minorHAnsi" w:cstheme="minorHAnsi"/>
          <w:sz w:val="22"/>
          <w:szCs w:val="22"/>
        </w:rPr>
        <w:t xml:space="preserve"> (1</w:t>
      </w:r>
      <w:r>
        <w:rPr>
          <w:rFonts w:asciiTheme="minorHAnsi" w:hAnsiTheme="minorHAnsi" w:cstheme="minorHAnsi"/>
          <w:sz w:val="22"/>
          <w:szCs w:val="22"/>
        </w:rPr>
        <w:t>5</w:t>
      </w:r>
      <w:r w:rsidRPr="00C84B6A">
        <w:rPr>
          <w:rFonts w:asciiTheme="minorHAnsi" w:hAnsiTheme="minorHAnsi" w:cstheme="minorHAnsi"/>
          <w:sz w:val="22"/>
          <w:szCs w:val="22"/>
        </w:rPr>
        <w:t xml:space="preserve"> à 18 ans), adolescents et adultes.</w:t>
      </w:r>
    </w:p>
    <w:p w:rsidR="00910778" w:rsidRPr="001F4D7E" w:rsidRDefault="00910778" w:rsidP="00910778">
      <w:pPr>
        <w:spacing w:line="288" w:lineRule="auto"/>
        <w:rPr>
          <w:rFonts w:ascii="Tahoma" w:hAnsi="Tahoma" w:cs="Tahoma"/>
          <w:b/>
          <w:color w:val="808080" w:themeColor="background1" w:themeShade="80"/>
          <w:sz w:val="20"/>
          <w:szCs w:val="20"/>
          <w:u w:val="single"/>
        </w:rPr>
      </w:pPr>
      <w:r w:rsidRPr="001F4D7E">
        <w:rPr>
          <w:rFonts w:ascii="Tahoma" w:hAnsi="Tahoma" w:cs="Tahoma"/>
          <w:b/>
          <w:color w:val="808080" w:themeColor="background1" w:themeShade="80"/>
          <w:sz w:val="20"/>
          <w:szCs w:val="20"/>
          <w:u w:val="single"/>
        </w:rPr>
        <w:t>Description et conditions générales :</w:t>
      </w:r>
    </w:p>
    <w:p w:rsidR="00910778" w:rsidRPr="00910778" w:rsidRDefault="00910778" w:rsidP="00910778">
      <w:pPr>
        <w:numPr>
          <w:ilvl w:val="0"/>
          <w:numId w:val="1"/>
        </w:numPr>
        <w:spacing w:line="288" w:lineRule="auto"/>
        <w:rPr>
          <w:rFonts w:asciiTheme="minorHAnsi" w:hAnsiTheme="minorHAnsi" w:cstheme="minorHAnsi"/>
          <w:sz w:val="22"/>
          <w:szCs w:val="22"/>
        </w:rPr>
      </w:pPr>
      <w:r w:rsidRPr="00910778">
        <w:rPr>
          <w:rFonts w:asciiTheme="minorHAnsi" w:hAnsiTheme="minorHAnsi" w:cstheme="minorHAnsi"/>
          <w:b/>
          <w:sz w:val="22"/>
          <w:szCs w:val="22"/>
        </w:rPr>
        <w:t>Composition de l’exposition</w:t>
      </w:r>
      <w:r w:rsidRPr="00910778">
        <w:rPr>
          <w:rFonts w:asciiTheme="minorHAnsi" w:hAnsiTheme="minorHAnsi" w:cstheme="minorHAnsi"/>
          <w:sz w:val="22"/>
          <w:szCs w:val="22"/>
        </w:rPr>
        <w:t xml:space="preserve"> :   </w:t>
      </w:r>
      <w:r w:rsidR="00EC303F">
        <w:rPr>
          <w:rFonts w:asciiTheme="minorHAnsi" w:hAnsiTheme="minorHAnsi" w:cstheme="minorHAnsi"/>
          <w:sz w:val="22"/>
          <w:szCs w:val="22"/>
        </w:rPr>
        <w:t xml:space="preserve"> </w:t>
      </w:r>
      <w:r w:rsidRPr="00910778">
        <w:rPr>
          <w:rFonts w:asciiTheme="minorHAnsi" w:hAnsiTheme="minorHAnsi" w:cstheme="minorHAnsi"/>
          <w:sz w:val="22"/>
          <w:szCs w:val="22"/>
        </w:rPr>
        <w:t>- 17 panneaux en couleurs de 70/120 cm</w:t>
      </w:r>
    </w:p>
    <w:p w:rsidR="00910778" w:rsidRPr="00910778" w:rsidRDefault="00910778" w:rsidP="00910778">
      <w:pPr>
        <w:spacing w:line="288" w:lineRule="auto"/>
        <w:ind w:firstLine="3261"/>
        <w:rPr>
          <w:rFonts w:asciiTheme="minorHAnsi" w:hAnsiTheme="minorHAnsi" w:cstheme="minorHAnsi"/>
          <w:sz w:val="22"/>
          <w:szCs w:val="22"/>
        </w:rPr>
      </w:pPr>
      <w:r w:rsidRPr="00910778">
        <w:rPr>
          <w:rFonts w:asciiTheme="minorHAnsi" w:hAnsiTheme="minorHAnsi" w:cstheme="minorHAnsi"/>
          <w:sz w:val="22"/>
          <w:szCs w:val="22"/>
        </w:rPr>
        <w:t>- 11 panneaux noirs et blancs (</w:t>
      </w:r>
      <w:proofErr w:type="spellStart"/>
      <w:r w:rsidRPr="00910778">
        <w:rPr>
          <w:rFonts w:asciiTheme="minorHAnsi" w:hAnsiTheme="minorHAnsi" w:cstheme="minorHAnsi"/>
          <w:i/>
          <w:sz w:val="22"/>
          <w:szCs w:val="22"/>
        </w:rPr>
        <w:t>Medz</w:t>
      </w:r>
      <w:proofErr w:type="spellEnd"/>
      <w:r w:rsidRPr="00910778">
        <w:rPr>
          <w:rFonts w:asciiTheme="minorHAnsi" w:hAnsiTheme="minorHAnsi" w:cstheme="minorHAnsi"/>
          <w:i/>
          <w:sz w:val="22"/>
          <w:szCs w:val="22"/>
        </w:rPr>
        <w:t xml:space="preserve"> </w:t>
      </w:r>
      <w:proofErr w:type="spellStart"/>
      <w:r w:rsidRPr="00910778">
        <w:rPr>
          <w:rFonts w:asciiTheme="minorHAnsi" w:hAnsiTheme="minorHAnsi" w:cstheme="minorHAnsi"/>
          <w:i/>
          <w:sz w:val="22"/>
          <w:szCs w:val="22"/>
        </w:rPr>
        <w:t>Yeghern</w:t>
      </w:r>
      <w:proofErr w:type="spellEnd"/>
      <w:r w:rsidRPr="00910778">
        <w:rPr>
          <w:rFonts w:asciiTheme="minorHAnsi" w:hAnsiTheme="minorHAnsi" w:cstheme="minorHAnsi"/>
          <w:sz w:val="22"/>
          <w:szCs w:val="22"/>
        </w:rPr>
        <w:t>) de 40/120 cm</w:t>
      </w:r>
    </w:p>
    <w:p w:rsidR="00910778" w:rsidRPr="00910778" w:rsidRDefault="00910778" w:rsidP="00910778">
      <w:pPr>
        <w:numPr>
          <w:ilvl w:val="0"/>
          <w:numId w:val="1"/>
        </w:numPr>
        <w:spacing w:line="288" w:lineRule="auto"/>
        <w:rPr>
          <w:rFonts w:asciiTheme="minorHAnsi" w:hAnsiTheme="minorHAnsi" w:cstheme="minorHAnsi"/>
          <w:sz w:val="22"/>
          <w:szCs w:val="22"/>
        </w:rPr>
      </w:pPr>
      <w:r w:rsidRPr="00910778">
        <w:rPr>
          <w:rFonts w:asciiTheme="minorHAnsi" w:hAnsiTheme="minorHAnsi" w:cstheme="minorHAnsi"/>
          <w:b/>
          <w:sz w:val="22"/>
          <w:szCs w:val="22"/>
        </w:rPr>
        <w:t>Conditionnement</w:t>
      </w:r>
      <w:r w:rsidRPr="00910778">
        <w:rPr>
          <w:rFonts w:asciiTheme="minorHAnsi" w:hAnsiTheme="minorHAnsi" w:cstheme="minorHAnsi"/>
          <w:sz w:val="22"/>
          <w:szCs w:val="22"/>
        </w:rPr>
        <w:t xml:space="preserve"> : 2 caisses en carton</w:t>
      </w:r>
    </w:p>
    <w:p w:rsidR="00910778" w:rsidRPr="00910778" w:rsidRDefault="00910778" w:rsidP="00910778">
      <w:pPr>
        <w:numPr>
          <w:ilvl w:val="0"/>
          <w:numId w:val="1"/>
        </w:numPr>
        <w:spacing w:line="288" w:lineRule="auto"/>
        <w:rPr>
          <w:rFonts w:asciiTheme="minorHAnsi" w:hAnsiTheme="minorHAnsi" w:cstheme="minorHAnsi"/>
          <w:sz w:val="22"/>
          <w:szCs w:val="22"/>
        </w:rPr>
      </w:pPr>
      <w:r w:rsidRPr="00910778">
        <w:rPr>
          <w:rFonts w:asciiTheme="minorHAnsi" w:hAnsiTheme="minorHAnsi" w:cstheme="minorHAnsi"/>
          <w:b/>
          <w:sz w:val="22"/>
          <w:szCs w:val="22"/>
        </w:rPr>
        <w:t>Participation aux frais</w:t>
      </w:r>
      <w:r w:rsidRPr="00910778">
        <w:rPr>
          <w:rFonts w:asciiTheme="minorHAnsi" w:hAnsiTheme="minorHAnsi" w:cstheme="minorHAnsi"/>
          <w:sz w:val="22"/>
          <w:szCs w:val="22"/>
        </w:rPr>
        <w:t xml:space="preserve"> : l'exposition est entièrement gratuite.</w:t>
      </w:r>
    </w:p>
    <w:p w:rsidR="00910778" w:rsidRPr="003A3126" w:rsidRDefault="00910778" w:rsidP="00910778">
      <w:pPr>
        <w:numPr>
          <w:ilvl w:val="0"/>
          <w:numId w:val="1"/>
        </w:numPr>
        <w:spacing w:line="288" w:lineRule="auto"/>
        <w:rPr>
          <w:rFonts w:asciiTheme="minorHAnsi" w:hAnsiTheme="minorHAnsi" w:cstheme="minorHAnsi"/>
          <w:sz w:val="22"/>
          <w:szCs w:val="22"/>
        </w:rPr>
      </w:pPr>
      <w:r w:rsidRPr="00910778">
        <w:rPr>
          <w:rFonts w:asciiTheme="minorHAnsi" w:hAnsiTheme="minorHAnsi" w:cstheme="minorHAnsi"/>
          <w:b/>
          <w:sz w:val="22"/>
          <w:szCs w:val="22"/>
        </w:rPr>
        <w:t>Edition</w:t>
      </w:r>
      <w:r w:rsidRPr="00910778">
        <w:rPr>
          <w:rFonts w:asciiTheme="minorHAnsi" w:hAnsiTheme="minorHAnsi" w:cstheme="minorHAnsi"/>
          <w:sz w:val="22"/>
          <w:szCs w:val="22"/>
        </w:rPr>
        <w:t xml:space="preserve"> : </w:t>
      </w:r>
      <w:r w:rsidRPr="003A3126">
        <w:rPr>
          <w:rFonts w:asciiTheme="minorHAnsi" w:hAnsiTheme="minorHAnsi" w:cstheme="minorHAnsi"/>
          <w:sz w:val="22"/>
          <w:szCs w:val="22"/>
        </w:rPr>
        <w:t xml:space="preserve">2 dossiers pédagogiques sont disponibles gracieusement : </w:t>
      </w:r>
      <w:r w:rsidRPr="009B0C12">
        <w:rPr>
          <w:rFonts w:asciiTheme="minorHAnsi" w:hAnsiTheme="minorHAnsi" w:cstheme="minorHAnsi"/>
          <w:bCs/>
          <w:i/>
          <w:sz w:val="22"/>
          <w:szCs w:val="22"/>
        </w:rPr>
        <w:t>Comprendre les génocides du 20</w:t>
      </w:r>
      <w:r w:rsidRPr="009B0C12">
        <w:rPr>
          <w:rFonts w:asciiTheme="minorHAnsi" w:hAnsiTheme="minorHAnsi" w:cstheme="minorHAnsi"/>
          <w:bCs/>
          <w:i/>
          <w:sz w:val="22"/>
          <w:szCs w:val="22"/>
          <w:vertAlign w:val="superscript"/>
        </w:rPr>
        <w:t>e</w:t>
      </w:r>
      <w:r w:rsidRPr="009B0C12">
        <w:rPr>
          <w:rFonts w:asciiTheme="minorHAnsi" w:hAnsiTheme="minorHAnsi" w:cstheme="minorHAnsi"/>
          <w:bCs/>
          <w:i/>
          <w:sz w:val="22"/>
          <w:szCs w:val="22"/>
        </w:rPr>
        <w:t xml:space="preserve"> siècle</w:t>
      </w:r>
      <w:r w:rsidRPr="003A3126">
        <w:rPr>
          <w:rFonts w:asciiTheme="minorHAnsi" w:hAnsiTheme="minorHAnsi" w:cstheme="minorHAnsi"/>
          <w:bCs/>
          <w:sz w:val="22"/>
          <w:szCs w:val="22"/>
        </w:rPr>
        <w:t xml:space="preserve"> et </w:t>
      </w:r>
      <w:r w:rsidRPr="009B0C12">
        <w:rPr>
          <w:rFonts w:asciiTheme="minorHAnsi" w:hAnsiTheme="minorHAnsi" w:cstheme="minorHAnsi"/>
          <w:i/>
          <w:sz w:val="22"/>
          <w:szCs w:val="22"/>
        </w:rPr>
        <w:t>Le génocide des Arméniens</w:t>
      </w:r>
      <w:r w:rsidRPr="003A3126">
        <w:rPr>
          <w:rFonts w:asciiTheme="minorHAnsi" w:hAnsiTheme="minorHAnsi" w:cstheme="minorHAnsi"/>
          <w:sz w:val="22"/>
          <w:szCs w:val="22"/>
        </w:rPr>
        <w:t>. Nombre de brochures souhaitées à déterminer ensemble.</w:t>
      </w:r>
    </w:p>
    <w:p w:rsidR="00910778" w:rsidRPr="00910778" w:rsidRDefault="00910778" w:rsidP="00910778">
      <w:pPr>
        <w:numPr>
          <w:ilvl w:val="0"/>
          <w:numId w:val="1"/>
        </w:numPr>
        <w:spacing w:line="288" w:lineRule="auto"/>
        <w:rPr>
          <w:rFonts w:asciiTheme="minorHAnsi" w:hAnsiTheme="minorHAnsi" w:cstheme="minorHAnsi"/>
          <w:sz w:val="22"/>
          <w:szCs w:val="22"/>
        </w:rPr>
      </w:pPr>
      <w:r w:rsidRPr="00910778">
        <w:rPr>
          <w:rFonts w:asciiTheme="minorHAnsi" w:hAnsiTheme="minorHAnsi" w:cstheme="minorHAnsi"/>
          <w:b/>
          <w:sz w:val="22"/>
          <w:szCs w:val="22"/>
        </w:rPr>
        <w:t>Transport</w:t>
      </w:r>
      <w:r w:rsidRPr="00910778">
        <w:rPr>
          <w:rFonts w:asciiTheme="minorHAnsi" w:hAnsiTheme="minorHAnsi" w:cstheme="minorHAnsi"/>
          <w:sz w:val="22"/>
          <w:szCs w:val="22"/>
        </w:rPr>
        <w:t xml:space="preserve"> : enlèvement et retour au CCLJ par vos soins.</w:t>
      </w:r>
    </w:p>
    <w:p w:rsidR="00910778" w:rsidRPr="00910778" w:rsidRDefault="00910778" w:rsidP="00910778">
      <w:pPr>
        <w:numPr>
          <w:ilvl w:val="0"/>
          <w:numId w:val="1"/>
        </w:numPr>
        <w:spacing w:line="288" w:lineRule="auto"/>
        <w:rPr>
          <w:rFonts w:asciiTheme="minorHAnsi" w:hAnsiTheme="minorHAnsi" w:cstheme="minorHAnsi"/>
          <w:sz w:val="22"/>
          <w:szCs w:val="22"/>
        </w:rPr>
      </w:pPr>
      <w:r w:rsidRPr="00910778">
        <w:rPr>
          <w:rFonts w:asciiTheme="minorHAnsi" w:hAnsiTheme="minorHAnsi" w:cstheme="minorHAnsi"/>
          <w:b/>
          <w:sz w:val="22"/>
          <w:szCs w:val="22"/>
          <w:u w:val="single"/>
        </w:rPr>
        <w:t>Contrat de prêt à signer</w:t>
      </w:r>
      <w:r w:rsidRPr="00910778">
        <w:rPr>
          <w:rFonts w:asciiTheme="minorHAnsi" w:hAnsiTheme="minorHAnsi" w:cstheme="minorHAnsi"/>
          <w:sz w:val="22"/>
          <w:szCs w:val="22"/>
        </w:rPr>
        <w:t>.</w:t>
      </w:r>
    </w:p>
    <w:p w:rsidR="00FF5748" w:rsidRDefault="00FF5748" w:rsidP="00FF5748">
      <w:pPr>
        <w:jc w:val="left"/>
        <w:rPr>
          <w:b/>
          <w:u w:val="single"/>
        </w:rPr>
      </w:pPr>
    </w:p>
    <w:p w:rsidR="00FF5748" w:rsidRPr="00C84B6A" w:rsidRDefault="00FF5748" w:rsidP="00FF5748">
      <w:pPr>
        <w:pBdr>
          <w:top w:val="dotted" w:sz="4" w:space="1" w:color="auto"/>
          <w:left w:val="dotted" w:sz="4" w:space="4" w:color="auto"/>
          <w:bottom w:val="dotted" w:sz="4" w:space="1" w:color="auto"/>
          <w:right w:val="dotted" w:sz="4" w:space="4" w:color="auto"/>
        </w:pBdr>
        <w:jc w:val="center"/>
        <w:rPr>
          <w:rFonts w:asciiTheme="minorHAnsi" w:hAnsiTheme="minorHAnsi" w:cstheme="minorHAnsi"/>
          <w:sz w:val="22"/>
          <w:szCs w:val="22"/>
        </w:rPr>
      </w:pPr>
      <w:r w:rsidRPr="00910778">
        <w:rPr>
          <w:rFonts w:asciiTheme="minorHAnsi" w:hAnsiTheme="minorHAnsi" w:cstheme="minorHAnsi"/>
          <w:b/>
          <w:sz w:val="22"/>
          <w:szCs w:val="22"/>
          <w:u w:val="single"/>
        </w:rPr>
        <w:t>Informations et réservations</w:t>
      </w:r>
      <w:r w:rsidRPr="00910778">
        <w:rPr>
          <w:rFonts w:asciiTheme="minorHAnsi" w:hAnsiTheme="minorHAnsi" w:cstheme="minorHAnsi"/>
          <w:sz w:val="22"/>
          <w:szCs w:val="22"/>
        </w:rPr>
        <w:t xml:space="preserve"> : </w:t>
      </w:r>
      <w:r w:rsidRPr="00C84B6A">
        <w:rPr>
          <w:rFonts w:asciiTheme="minorHAnsi" w:hAnsiTheme="minorHAnsi" w:cstheme="minorHAnsi"/>
          <w:sz w:val="22"/>
          <w:szCs w:val="22"/>
        </w:rPr>
        <w:t xml:space="preserve">Ina Van </w:t>
      </w:r>
      <w:proofErr w:type="spellStart"/>
      <w:r w:rsidRPr="00C84B6A">
        <w:rPr>
          <w:rFonts w:asciiTheme="minorHAnsi" w:hAnsiTheme="minorHAnsi" w:cstheme="minorHAnsi"/>
          <w:sz w:val="22"/>
          <w:szCs w:val="22"/>
        </w:rPr>
        <w:t>Looy</w:t>
      </w:r>
      <w:proofErr w:type="spellEnd"/>
      <w:r w:rsidRPr="00C84B6A">
        <w:rPr>
          <w:rFonts w:asciiTheme="minorHAnsi" w:hAnsiTheme="minorHAnsi" w:cstheme="minorHAnsi"/>
          <w:sz w:val="22"/>
          <w:szCs w:val="22"/>
        </w:rPr>
        <w:t>, chef de projet – Tél. 02/543 02 97 – ina@cclj.be</w:t>
      </w:r>
    </w:p>
    <w:p w:rsidR="00DF6527" w:rsidRDefault="00DF6527"/>
    <w:sectPr w:rsidR="00DF6527" w:rsidSect="00652EED">
      <w:headerReference w:type="even" r:id="rId9"/>
      <w:headerReference w:type="default" r:id="rId10"/>
      <w:footerReference w:type="even" r:id="rId11"/>
      <w:footerReference w:type="default" r:id="rId12"/>
      <w:headerReference w:type="first" r:id="rId13"/>
      <w:footerReference w:type="first" r:id="rId14"/>
      <w:pgSz w:w="11906" w:h="16838"/>
      <w:pgMar w:top="720" w:right="720" w:bottom="454"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E9E" w:rsidRDefault="00053E9E" w:rsidP="00FF5748">
      <w:r>
        <w:separator/>
      </w:r>
    </w:p>
  </w:endnote>
  <w:endnote w:type="continuationSeparator" w:id="0">
    <w:p w:rsidR="00053E9E" w:rsidRDefault="00053E9E" w:rsidP="00FF5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stral">
    <w:panose1 w:val="03090702030407020403"/>
    <w:charset w:val="00"/>
    <w:family w:val="script"/>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03F" w:rsidRDefault="00EC303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965" w:rsidRPr="00AD12AB" w:rsidRDefault="001E5D51" w:rsidP="009E0965">
    <w:pPr>
      <w:pStyle w:val="Pieddepage"/>
      <w:pBdr>
        <w:top w:val="single" w:sz="8" w:space="1" w:color="808080"/>
      </w:pBdr>
      <w:jc w:val="center"/>
      <w:rPr>
        <w:rFonts w:ascii="Calibri" w:hAnsi="Calibri"/>
        <w:b/>
        <w:sz w:val="22"/>
        <w:szCs w:val="22"/>
        <w:lang w:val="fr-BE"/>
      </w:rPr>
    </w:pPr>
    <w:r>
      <w:rPr>
        <w:rFonts w:ascii="Calibri" w:hAnsi="Calibri"/>
        <w:b/>
        <w:sz w:val="22"/>
        <w:szCs w:val="22"/>
        <w:lang w:val="fr-BE"/>
      </w:rPr>
      <w:t xml:space="preserve">Centre </w:t>
    </w:r>
    <w:r>
      <w:rPr>
        <w:rFonts w:ascii="Calibri" w:hAnsi="Calibri"/>
        <w:b/>
        <w:sz w:val="22"/>
        <w:szCs w:val="22"/>
        <w:lang w:val="fr-BE"/>
      </w:rPr>
      <w:t>d’E</w:t>
    </w:r>
    <w:bookmarkStart w:id="0" w:name="_GoBack"/>
    <w:bookmarkEnd w:id="0"/>
    <w:r w:rsidR="009E0965" w:rsidRPr="00AD12AB">
      <w:rPr>
        <w:rFonts w:ascii="Calibri" w:hAnsi="Calibri"/>
        <w:b/>
        <w:sz w:val="22"/>
        <w:szCs w:val="22"/>
        <w:lang w:val="fr-BE"/>
      </w:rPr>
      <w:t xml:space="preserve">ducation à la Citoyenneté du Centre Communautaire Laïc Juif </w:t>
    </w:r>
    <w:r w:rsidR="00EC303F" w:rsidRPr="00AD12AB">
      <w:rPr>
        <w:rFonts w:ascii="Calibri" w:hAnsi="Calibri"/>
        <w:b/>
        <w:sz w:val="22"/>
        <w:szCs w:val="22"/>
        <w:lang w:val="fr-BE"/>
      </w:rPr>
      <w:t>(CCLJ)</w:t>
    </w:r>
  </w:p>
  <w:p w:rsidR="009E0965" w:rsidRPr="006A5287" w:rsidRDefault="009E0965" w:rsidP="009E0965">
    <w:pPr>
      <w:pStyle w:val="Pieddepage"/>
      <w:jc w:val="center"/>
      <w:rPr>
        <w:rFonts w:ascii="Calibri" w:hAnsi="Calibri"/>
        <w:sz w:val="18"/>
        <w:szCs w:val="18"/>
        <w:lang w:val="fr-BE"/>
      </w:rPr>
    </w:pPr>
    <w:r w:rsidRPr="006A5287">
      <w:rPr>
        <w:rFonts w:ascii="Calibri" w:hAnsi="Calibri"/>
        <w:sz w:val="18"/>
        <w:szCs w:val="18"/>
        <w:lang w:val="fr-BE"/>
      </w:rPr>
      <w:t>Rue de l’Hôtel des Monnaies 52 à 1060 Bruxelles</w:t>
    </w:r>
  </w:p>
  <w:p w:rsidR="009E0965" w:rsidRPr="006A5287" w:rsidRDefault="009E0965" w:rsidP="009E0965">
    <w:pPr>
      <w:jc w:val="center"/>
      <w:rPr>
        <w:rFonts w:ascii="Calibri" w:hAnsi="Calibri" w:cs="Tahoma"/>
        <w:sz w:val="18"/>
        <w:szCs w:val="18"/>
        <w:lang w:val="fr-BE"/>
      </w:rPr>
    </w:pPr>
    <w:r w:rsidRPr="006A5287">
      <w:rPr>
        <w:rFonts w:ascii="Calibri" w:hAnsi="Calibri"/>
        <w:sz w:val="18"/>
        <w:szCs w:val="18"/>
        <w:lang w:val="fr-BE"/>
      </w:rPr>
      <w:sym w:font="Wingdings 2" w:char="F027"/>
    </w:r>
    <w:r w:rsidRPr="00646DD6">
      <w:rPr>
        <w:rFonts w:ascii="Calibri" w:hAnsi="Calibri"/>
        <w:sz w:val="18"/>
        <w:szCs w:val="18"/>
      </w:rPr>
      <w:t xml:space="preserve"> 02/543 02 </w:t>
    </w:r>
    <w:r>
      <w:rPr>
        <w:rFonts w:ascii="Calibri" w:hAnsi="Calibri"/>
        <w:sz w:val="18"/>
        <w:szCs w:val="18"/>
      </w:rPr>
      <w:t>97</w:t>
    </w:r>
    <w:r w:rsidRPr="00646DD6">
      <w:rPr>
        <w:rFonts w:ascii="Calibri" w:hAnsi="Calibri"/>
        <w:sz w:val="18"/>
        <w:szCs w:val="18"/>
      </w:rPr>
      <w:t xml:space="preserve"> - </w:t>
    </w:r>
    <w:r w:rsidRPr="006A5287">
      <w:rPr>
        <w:rFonts w:ascii="Calibri" w:hAnsi="Calibri"/>
        <w:sz w:val="18"/>
        <w:szCs w:val="18"/>
        <w:lang w:val="fr-BE"/>
      </w:rPr>
      <w:sym w:font="Wingdings 2" w:char="F037"/>
    </w:r>
    <w:r w:rsidRPr="00646DD6">
      <w:rPr>
        <w:rFonts w:ascii="Calibri" w:hAnsi="Calibri"/>
        <w:sz w:val="18"/>
        <w:szCs w:val="18"/>
      </w:rPr>
      <w:t xml:space="preserve"> 02/543 02 71 </w:t>
    </w:r>
    <w:r>
      <w:rPr>
        <w:rFonts w:ascii="Calibri" w:hAnsi="Calibri"/>
        <w:sz w:val="18"/>
        <w:szCs w:val="18"/>
      </w:rPr>
      <w:t>–</w:t>
    </w:r>
    <w:r w:rsidRPr="00646DD6">
      <w:rPr>
        <w:rFonts w:ascii="Calibri" w:hAnsi="Calibri"/>
        <w:sz w:val="18"/>
        <w:szCs w:val="18"/>
      </w:rPr>
      <w:t xml:space="preserve"> </w:t>
    </w:r>
    <w:hyperlink r:id="rId1" w:history="1">
      <w:r w:rsidR="00AD12AB" w:rsidRPr="00D34569">
        <w:rPr>
          <w:rStyle w:val="Lienhypertexte"/>
          <w:rFonts w:ascii="Calibri" w:hAnsi="Calibri"/>
          <w:sz w:val="18"/>
          <w:szCs w:val="18"/>
        </w:rPr>
        <w:t>hn@cclj.be</w:t>
      </w:r>
    </w:hyperlink>
    <w:r w:rsidR="00AD12AB">
      <w:rPr>
        <w:rFonts w:ascii="Calibri" w:hAnsi="Calibri"/>
        <w:sz w:val="18"/>
        <w:szCs w:val="18"/>
      </w:rPr>
      <w:t xml:space="preserve"> </w:t>
    </w:r>
    <w:r w:rsidRPr="00646DD6">
      <w:rPr>
        <w:rFonts w:ascii="Calibri" w:hAnsi="Calibri"/>
        <w:sz w:val="18"/>
        <w:szCs w:val="18"/>
      </w:rPr>
      <w:t xml:space="preserve">- </w:t>
    </w:r>
    <w:hyperlink r:id="rId2" w:history="1">
      <w:r w:rsidR="00AD12AB" w:rsidRPr="00D34569">
        <w:rPr>
          <w:rStyle w:val="Lienhypertexte"/>
          <w:rFonts w:ascii="Calibri" w:hAnsi="Calibri"/>
          <w:sz w:val="18"/>
          <w:szCs w:val="18"/>
          <w:lang w:val="fr-BE"/>
        </w:rPr>
        <w:t>www.lahainejedisnon.be</w:t>
      </w:r>
    </w:hyperlink>
    <w:r w:rsidR="00C14D4F">
      <w:rPr>
        <w:rStyle w:val="Lienhypertexte"/>
        <w:rFonts w:ascii="Calibri" w:hAnsi="Calibri"/>
        <w:sz w:val="18"/>
        <w:szCs w:val="18"/>
        <w:lang w:val="fr-BE"/>
      </w:rPr>
      <w:t xml:space="preserve"> – www.cclj.be</w:t>
    </w:r>
    <w:r w:rsidR="00AD12AB">
      <w:rPr>
        <w:rFonts w:ascii="Calibri" w:hAnsi="Calibri"/>
        <w:sz w:val="18"/>
        <w:szCs w:val="18"/>
        <w:lang w:val="fr-BE"/>
      </w:rPr>
      <w:t xml:space="preserve"> </w:t>
    </w:r>
  </w:p>
  <w:p w:rsidR="00985058" w:rsidRDefault="00053E9E">
    <w:pPr>
      <w:pStyle w:val="Pieddepage"/>
      <w:rPr>
        <w:b/>
        <w:sz w:val="20"/>
        <w:szCs w:val="20"/>
        <w:lang w:val="fr-B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03F" w:rsidRDefault="00EC30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E9E" w:rsidRDefault="00053E9E" w:rsidP="00FF5748">
      <w:r>
        <w:separator/>
      </w:r>
    </w:p>
  </w:footnote>
  <w:footnote w:type="continuationSeparator" w:id="0">
    <w:p w:rsidR="00053E9E" w:rsidRDefault="00053E9E" w:rsidP="00FF57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03F" w:rsidRDefault="00EC303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80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7"/>
      <w:gridCol w:w="5943"/>
    </w:tblGrid>
    <w:tr w:rsidR="00985058">
      <w:tc>
        <w:tcPr>
          <w:tcW w:w="4857" w:type="dxa"/>
        </w:tcPr>
        <w:p w:rsidR="00985058" w:rsidRDefault="00FF5748" w:rsidP="00DF79DD">
          <w:pPr>
            <w:jc w:val="left"/>
            <w:rPr>
              <w:b/>
              <w:lang w:val="fr-BE"/>
            </w:rPr>
          </w:pPr>
          <w:r>
            <w:rPr>
              <w:b/>
              <w:noProof/>
              <w:lang w:val="fr-BE" w:eastAsia="fr-BE"/>
            </w:rPr>
            <w:drawing>
              <wp:inline distT="0" distB="0" distL="0" distR="0" wp14:anchorId="7859AC9A" wp14:editId="233F8489">
                <wp:extent cx="1176618" cy="333375"/>
                <wp:effectExtent l="0" t="0" r="5080" b="0"/>
                <wp:docPr id="3" name="Image 3" descr="CCLJ Nouvea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LJ Nouvea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618" cy="333375"/>
                        </a:xfrm>
                        <a:prstGeom prst="rect">
                          <a:avLst/>
                        </a:prstGeom>
                        <a:noFill/>
                        <a:ln>
                          <a:noFill/>
                        </a:ln>
                      </pic:spPr>
                    </pic:pic>
                  </a:graphicData>
                </a:graphic>
              </wp:inline>
            </w:drawing>
          </w:r>
        </w:p>
      </w:tc>
      <w:tc>
        <w:tcPr>
          <w:tcW w:w="5943" w:type="dxa"/>
        </w:tcPr>
        <w:p w:rsidR="00985058" w:rsidRDefault="00FF5748" w:rsidP="00DF79DD">
          <w:pPr>
            <w:jc w:val="right"/>
            <w:rPr>
              <w:b/>
              <w:lang w:val="fr-BE"/>
            </w:rPr>
          </w:pPr>
          <w:r>
            <w:rPr>
              <w:b/>
              <w:noProof/>
              <w:lang w:val="fr-BE" w:eastAsia="fr-BE"/>
            </w:rPr>
            <w:drawing>
              <wp:inline distT="0" distB="0" distL="0" distR="0" wp14:anchorId="56CC4785" wp14:editId="75E0ABA7">
                <wp:extent cx="784279" cy="378959"/>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CLJ_RVB[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89429" cy="381447"/>
                        </a:xfrm>
                        <a:prstGeom prst="rect">
                          <a:avLst/>
                        </a:prstGeom>
                      </pic:spPr>
                    </pic:pic>
                  </a:graphicData>
                </a:graphic>
              </wp:inline>
            </w:drawing>
          </w:r>
        </w:p>
      </w:tc>
    </w:tr>
  </w:tbl>
  <w:p w:rsidR="00985058" w:rsidRPr="00D519A7" w:rsidRDefault="00053E9E">
    <w:pPr>
      <w:pStyle w:val="En-tt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03F" w:rsidRDefault="00EC303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61629F"/>
    <w:multiLevelType w:val="hybridMultilevel"/>
    <w:tmpl w:val="14EA9D02"/>
    <w:lvl w:ilvl="0" w:tplc="4BE026E2">
      <w:start w:val="1"/>
      <w:numFmt w:val="bullet"/>
      <w:lvlText w:val=""/>
      <w:lvlJc w:val="left"/>
      <w:pPr>
        <w:tabs>
          <w:tab w:val="num" w:pos="360"/>
        </w:tabs>
        <w:ind w:left="360" w:hanging="360"/>
      </w:pPr>
      <w:rPr>
        <w:rFonts w:ascii="Wingdings" w:hAnsi="Wingdings" w:hint="default"/>
        <w:sz w:val="20"/>
        <w:szCs w:val="20"/>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748"/>
    <w:rsid w:val="00053E9E"/>
    <w:rsid w:val="00134F9D"/>
    <w:rsid w:val="00161A81"/>
    <w:rsid w:val="001E5D51"/>
    <w:rsid w:val="001F4D7E"/>
    <w:rsid w:val="002908B8"/>
    <w:rsid w:val="003202D8"/>
    <w:rsid w:val="003A3126"/>
    <w:rsid w:val="004977D1"/>
    <w:rsid w:val="00507A24"/>
    <w:rsid w:val="00647979"/>
    <w:rsid w:val="00652EED"/>
    <w:rsid w:val="00747ABE"/>
    <w:rsid w:val="007F12E6"/>
    <w:rsid w:val="00910778"/>
    <w:rsid w:val="009B0C12"/>
    <w:rsid w:val="009E0965"/>
    <w:rsid w:val="00A543EE"/>
    <w:rsid w:val="00AD12AB"/>
    <w:rsid w:val="00B62322"/>
    <w:rsid w:val="00C14D4F"/>
    <w:rsid w:val="00C84B6A"/>
    <w:rsid w:val="00DD44CF"/>
    <w:rsid w:val="00DF6527"/>
    <w:rsid w:val="00EC303F"/>
    <w:rsid w:val="00F26D2B"/>
    <w:rsid w:val="00FF574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748"/>
    <w:pPr>
      <w:spacing w:after="0" w:line="240" w:lineRule="auto"/>
      <w:jc w:val="both"/>
    </w:pPr>
    <w:rPr>
      <w:rFonts w:ascii="Book Antiqua" w:eastAsia="Times New Roman" w:hAnsi="Book Antiqua" w:cs="Times New Roman"/>
      <w:sz w:val="24"/>
      <w:szCs w:val="24"/>
      <w:lang w:val="fr-FR" w:eastAsia="fr-FR"/>
    </w:rPr>
  </w:style>
  <w:style w:type="paragraph" w:styleId="Titre1">
    <w:name w:val="heading 1"/>
    <w:basedOn w:val="Normal"/>
    <w:next w:val="Normal"/>
    <w:link w:val="Titre1Car"/>
    <w:qFormat/>
    <w:rsid w:val="00161A81"/>
    <w:pPr>
      <w:keepNext/>
      <w:spacing w:before="240" w:after="60"/>
      <w:outlineLvl w:val="0"/>
    </w:pPr>
    <w:rPr>
      <w:rFonts w:ascii="Kristen ITC" w:hAnsi="Kristen ITC"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F5748"/>
    <w:pPr>
      <w:spacing w:after="0" w:line="240" w:lineRule="auto"/>
      <w:jc w:val="both"/>
    </w:pPr>
    <w:rPr>
      <w:rFonts w:ascii="Times New Roman" w:eastAsia="Times New Roman" w:hAnsi="Times New Roman" w:cs="Times New Roman"/>
      <w:sz w:val="20"/>
      <w:szCs w:val="20"/>
      <w:lang w:eastAsia="fr-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rsid w:val="00FF5748"/>
    <w:pPr>
      <w:tabs>
        <w:tab w:val="center" w:pos="4536"/>
        <w:tab w:val="right" w:pos="9072"/>
      </w:tabs>
    </w:pPr>
  </w:style>
  <w:style w:type="character" w:customStyle="1" w:styleId="En-tteCar">
    <w:name w:val="En-tête Car"/>
    <w:basedOn w:val="Policepardfaut"/>
    <w:link w:val="En-tte"/>
    <w:rsid w:val="00FF5748"/>
    <w:rPr>
      <w:rFonts w:ascii="Book Antiqua" w:eastAsia="Times New Roman" w:hAnsi="Book Antiqua" w:cs="Times New Roman"/>
      <w:sz w:val="24"/>
      <w:szCs w:val="24"/>
      <w:lang w:val="fr-FR" w:eastAsia="fr-FR"/>
    </w:rPr>
  </w:style>
  <w:style w:type="paragraph" w:styleId="Pieddepage">
    <w:name w:val="footer"/>
    <w:basedOn w:val="Normal"/>
    <w:link w:val="PieddepageCar"/>
    <w:rsid w:val="00FF5748"/>
    <w:pPr>
      <w:tabs>
        <w:tab w:val="center" w:pos="4536"/>
        <w:tab w:val="right" w:pos="9072"/>
      </w:tabs>
    </w:pPr>
  </w:style>
  <w:style w:type="character" w:customStyle="1" w:styleId="PieddepageCar">
    <w:name w:val="Pied de page Car"/>
    <w:basedOn w:val="Policepardfaut"/>
    <w:link w:val="Pieddepage"/>
    <w:rsid w:val="00FF5748"/>
    <w:rPr>
      <w:rFonts w:ascii="Book Antiqua" w:eastAsia="Times New Roman" w:hAnsi="Book Antiqua" w:cs="Times New Roman"/>
      <w:sz w:val="24"/>
      <w:szCs w:val="24"/>
      <w:lang w:val="fr-FR" w:eastAsia="fr-FR"/>
    </w:rPr>
  </w:style>
  <w:style w:type="character" w:styleId="Lienhypertexte">
    <w:name w:val="Hyperlink"/>
    <w:basedOn w:val="Policepardfaut"/>
    <w:rsid w:val="00FF5748"/>
    <w:rPr>
      <w:color w:val="0000FF"/>
      <w:u w:val="single"/>
    </w:rPr>
  </w:style>
  <w:style w:type="paragraph" w:customStyle="1" w:styleId="Bullets">
    <w:name w:val="Bullets"/>
    <w:basedOn w:val="Normal"/>
    <w:rsid w:val="00FF5748"/>
    <w:pPr>
      <w:spacing w:before="60" w:after="60"/>
      <w:ind w:left="283" w:hanging="283"/>
    </w:pPr>
    <w:rPr>
      <w:color w:val="000000"/>
      <w:kern w:val="28"/>
      <w:sz w:val="16"/>
      <w:szCs w:val="16"/>
    </w:rPr>
  </w:style>
  <w:style w:type="paragraph" w:styleId="Textedebulles">
    <w:name w:val="Balloon Text"/>
    <w:basedOn w:val="Normal"/>
    <w:link w:val="TextedebullesCar"/>
    <w:uiPriority w:val="99"/>
    <w:semiHidden/>
    <w:unhideWhenUsed/>
    <w:rsid w:val="00FF5748"/>
    <w:rPr>
      <w:rFonts w:ascii="Tahoma" w:hAnsi="Tahoma" w:cs="Tahoma"/>
      <w:sz w:val="16"/>
      <w:szCs w:val="16"/>
    </w:rPr>
  </w:style>
  <w:style w:type="character" w:customStyle="1" w:styleId="TextedebullesCar">
    <w:name w:val="Texte de bulles Car"/>
    <w:basedOn w:val="Policepardfaut"/>
    <w:link w:val="Textedebulles"/>
    <w:uiPriority w:val="99"/>
    <w:semiHidden/>
    <w:rsid w:val="00FF5748"/>
    <w:rPr>
      <w:rFonts w:ascii="Tahoma" w:eastAsia="Times New Roman" w:hAnsi="Tahoma" w:cs="Tahoma"/>
      <w:sz w:val="16"/>
      <w:szCs w:val="16"/>
      <w:lang w:val="fr-FR" w:eastAsia="fr-FR"/>
    </w:rPr>
  </w:style>
  <w:style w:type="character" w:customStyle="1" w:styleId="Titre1Car">
    <w:name w:val="Titre 1 Car"/>
    <w:basedOn w:val="Policepardfaut"/>
    <w:link w:val="Titre1"/>
    <w:rsid w:val="00161A81"/>
    <w:rPr>
      <w:rFonts w:ascii="Kristen ITC" w:eastAsia="Times New Roman" w:hAnsi="Kristen ITC" w:cs="Arial"/>
      <w:b/>
      <w:bCs/>
      <w:kern w:val="32"/>
      <w:sz w:val="32"/>
      <w:szCs w:val="32"/>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748"/>
    <w:pPr>
      <w:spacing w:after="0" w:line="240" w:lineRule="auto"/>
      <w:jc w:val="both"/>
    </w:pPr>
    <w:rPr>
      <w:rFonts w:ascii="Book Antiqua" w:eastAsia="Times New Roman" w:hAnsi="Book Antiqua" w:cs="Times New Roman"/>
      <w:sz w:val="24"/>
      <w:szCs w:val="24"/>
      <w:lang w:val="fr-FR" w:eastAsia="fr-FR"/>
    </w:rPr>
  </w:style>
  <w:style w:type="paragraph" w:styleId="Titre1">
    <w:name w:val="heading 1"/>
    <w:basedOn w:val="Normal"/>
    <w:next w:val="Normal"/>
    <w:link w:val="Titre1Car"/>
    <w:qFormat/>
    <w:rsid w:val="00161A81"/>
    <w:pPr>
      <w:keepNext/>
      <w:spacing w:before="240" w:after="60"/>
      <w:outlineLvl w:val="0"/>
    </w:pPr>
    <w:rPr>
      <w:rFonts w:ascii="Kristen ITC" w:hAnsi="Kristen ITC"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F5748"/>
    <w:pPr>
      <w:spacing w:after="0" w:line="240" w:lineRule="auto"/>
      <w:jc w:val="both"/>
    </w:pPr>
    <w:rPr>
      <w:rFonts w:ascii="Times New Roman" w:eastAsia="Times New Roman" w:hAnsi="Times New Roman" w:cs="Times New Roman"/>
      <w:sz w:val="20"/>
      <w:szCs w:val="20"/>
      <w:lang w:eastAsia="fr-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rsid w:val="00FF5748"/>
    <w:pPr>
      <w:tabs>
        <w:tab w:val="center" w:pos="4536"/>
        <w:tab w:val="right" w:pos="9072"/>
      </w:tabs>
    </w:pPr>
  </w:style>
  <w:style w:type="character" w:customStyle="1" w:styleId="En-tteCar">
    <w:name w:val="En-tête Car"/>
    <w:basedOn w:val="Policepardfaut"/>
    <w:link w:val="En-tte"/>
    <w:rsid w:val="00FF5748"/>
    <w:rPr>
      <w:rFonts w:ascii="Book Antiqua" w:eastAsia="Times New Roman" w:hAnsi="Book Antiqua" w:cs="Times New Roman"/>
      <w:sz w:val="24"/>
      <w:szCs w:val="24"/>
      <w:lang w:val="fr-FR" w:eastAsia="fr-FR"/>
    </w:rPr>
  </w:style>
  <w:style w:type="paragraph" w:styleId="Pieddepage">
    <w:name w:val="footer"/>
    <w:basedOn w:val="Normal"/>
    <w:link w:val="PieddepageCar"/>
    <w:rsid w:val="00FF5748"/>
    <w:pPr>
      <w:tabs>
        <w:tab w:val="center" w:pos="4536"/>
        <w:tab w:val="right" w:pos="9072"/>
      </w:tabs>
    </w:pPr>
  </w:style>
  <w:style w:type="character" w:customStyle="1" w:styleId="PieddepageCar">
    <w:name w:val="Pied de page Car"/>
    <w:basedOn w:val="Policepardfaut"/>
    <w:link w:val="Pieddepage"/>
    <w:rsid w:val="00FF5748"/>
    <w:rPr>
      <w:rFonts w:ascii="Book Antiqua" w:eastAsia="Times New Roman" w:hAnsi="Book Antiqua" w:cs="Times New Roman"/>
      <w:sz w:val="24"/>
      <w:szCs w:val="24"/>
      <w:lang w:val="fr-FR" w:eastAsia="fr-FR"/>
    </w:rPr>
  </w:style>
  <w:style w:type="character" w:styleId="Lienhypertexte">
    <w:name w:val="Hyperlink"/>
    <w:basedOn w:val="Policepardfaut"/>
    <w:rsid w:val="00FF5748"/>
    <w:rPr>
      <w:color w:val="0000FF"/>
      <w:u w:val="single"/>
    </w:rPr>
  </w:style>
  <w:style w:type="paragraph" w:customStyle="1" w:styleId="Bullets">
    <w:name w:val="Bullets"/>
    <w:basedOn w:val="Normal"/>
    <w:rsid w:val="00FF5748"/>
    <w:pPr>
      <w:spacing w:before="60" w:after="60"/>
      <w:ind w:left="283" w:hanging="283"/>
    </w:pPr>
    <w:rPr>
      <w:color w:val="000000"/>
      <w:kern w:val="28"/>
      <w:sz w:val="16"/>
      <w:szCs w:val="16"/>
    </w:rPr>
  </w:style>
  <w:style w:type="paragraph" w:styleId="Textedebulles">
    <w:name w:val="Balloon Text"/>
    <w:basedOn w:val="Normal"/>
    <w:link w:val="TextedebullesCar"/>
    <w:uiPriority w:val="99"/>
    <w:semiHidden/>
    <w:unhideWhenUsed/>
    <w:rsid w:val="00FF5748"/>
    <w:rPr>
      <w:rFonts w:ascii="Tahoma" w:hAnsi="Tahoma" w:cs="Tahoma"/>
      <w:sz w:val="16"/>
      <w:szCs w:val="16"/>
    </w:rPr>
  </w:style>
  <w:style w:type="character" w:customStyle="1" w:styleId="TextedebullesCar">
    <w:name w:val="Texte de bulles Car"/>
    <w:basedOn w:val="Policepardfaut"/>
    <w:link w:val="Textedebulles"/>
    <w:uiPriority w:val="99"/>
    <w:semiHidden/>
    <w:rsid w:val="00FF5748"/>
    <w:rPr>
      <w:rFonts w:ascii="Tahoma" w:eastAsia="Times New Roman" w:hAnsi="Tahoma" w:cs="Tahoma"/>
      <w:sz w:val="16"/>
      <w:szCs w:val="16"/>
      <w:lang w:val="fr-FR" w:eastAsia="fr-FR"/>
    </w:rPr>
  </w:style>
  <w:style w:type="character" w:customStyle="1" w:styleId="Titre1Car">
    <w:name w:val="Titre 1 Car"/>
    <w:basedOn w:val="Policepardfaut"/>
    <w:link w:val="Titre1"/>
    <w:rsid w:val="00161A81"/>
    <w:rPr>
      <w:rFonts w:ascii="Kristen ITC" w:eastAsia="Times New Roman" w:hAnsi="Kristen ITC" w:cs="Arial"/>
      <w:b/>
      <w:bCs/>
      <w:kern w:val="32"/>
      <w:sz w:val="32"/>
      <w:szCs w:val="3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lahainejedisnon.be" TargetMode="External"/><Relationship Id="rId1" Type="http://schemas.openxmlformats.org/officeDocument/2006/relationships/hyperlink" Target="mailto:hn@cclj.b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849</Words>
  <Characters>4674</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cp:lastPrinted>2011-09-02T11:55:00Z</cp:lastPrinted>
  <dcterms:created xsi:type="dcterms:W3CDTF">2012-08-30T12:51:00Z</dcterms:created>
  <dcterms:modified xsi:type="dcterms:W3CDTF">2012-09-19T09:53:00Z</dcterms:modified>
</cp:coreProperties>
</file>