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66" w:rsidRDefault="007A3B66" w:rsidP="007A3B66">
      <w:pPr>
        <w:spacing w:line="276" w:lineRule="auto"/>
        <w:jc w:val="center"/>
        <w:rPr>
          <w:rFonts w:ascii="Arial" w:hAnsi="Arial" w:cs="Arial"/>
          <w:sz w:val="22"/>
          <w:szCs w:val="22"/>
        </w:rPr>
      </w:pPr>
    </w:p>
    <w:p w:rsidR="007A3B66" w:rsidRDefault="007A3B66" w:rsidP="007A3B66">
      <w:pPr>
        <w:spacing w:line="276" w:lineRule="auto"/>
        <w:jc w:val="center"/>
        <w:rPr>
          <w:rFonts w:ascii="Arial" w:hAnsi="Arial" w:cs="Arial"/>
          <w:b/>
          <w:sz w:val="28"/>
          <w:szCs w:val="28"/>
        </w:rPr>
      </w:pPr>
      <w:r>
        <w:rPr>
          <w:rFonts w:ascii="Arial" w:hAnsi="Arial" w:cs="Arial"/>
          <w:b/>
          <w:sz w:val="28"/>
          <w:szCs w:val="28"/>
        </w:rPr>
        <w:t>« Annexe au décret du 24 juillet 1997 définissant les missions prioritaires de l'enseignement fondamental et de l'enseignement secondaire et organisant les structures propres à les atteindre »</w:t>
      </w:r>
    </w:p>
    <w:p w:rsidR="007A3B66" w:rsidRDefault="007A3B66" w:rsidP="007A3B66">
      <w:pPr>
        <w:spacing w:line="276" w:lineRule="auto"/>
        <w:jc w:val="center"/>
        <w:rPr>
          <w:rFonts w:ascii="Arial" w:hAnsi="Arial" w:cs="Arial"/>
          <w:b/>
          <w:sz w:val="28"/>
          <w:szCs w:val="28"/>
        </w:rPr>
      </w:pPr>
    </w:p>
    <w:p w:rsidR="007A3B66" w:rsidRDefault="007A3B66" w:rsidP="007A3B66">
      <w:pPr>
        <w:spacing w:line="276" w:lineRule="auto"/>
        <w:jc w:val="center"/>
        <w:rPr>
          <w:rFonts w:ascii="Arial" w:hAnsi="Arial" w:cs="Arial"/>
          <w:b/>
          <w:sz w:val="28"/>
          <w:szCs w:val="28"/>
        </w:rPr>
      </w:pPr>
      <w:r>
        <w:rPr>
          <w:rFonts w:ascii="Arial" w:hAnsi="Arial" w:cs="Arial"/>
          <w:b/>
          <w:sz w:val="28"/>
          <w:szCs w:val="28"/>
        </w:rPr>
        <w:t>Indicateurs et valeurs de référence liés aux objectifs d’amélioration énoncés à l’article 67, § 3</w:t>
      </w:r>
    </w:p>
    <w:p w:rsidR="007A3B66" w:rsidRDefault="007A3B66" w:rsidP="007A3B66">
      <w:pPr>
        <w:spacing w:line="276" w:lineRule="auto"/>
        <w:rPr>
          <w:rFonts w:ascii="Arial" w:hAnsi="Arial" w:cs="Arial"/>
          <w:sz w:val="22"/>
          <w:szCs w:val="22"/>
        </w:rPr>
      </w:pPr>
    </w:p>
    <w:p w:rsidR="007A3B66" w:rsidRDefault="007A3B66" w:rsidP="007A3B66">
      <w:pPr>
        <w:jc w:val="center"/>
        <w:rPr>
          <w:rFonts w:ascii="Arial" w:hAnsi="Arial" w:cs="Arial"/>
          <w:b/>
          <w:lang w:val="fr-FR" w:eastAsia="fr-FR"/>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3544"/>
      </w:tblGrid>
      <w:tr w:rsidR="007A3B66" w:rsidTr="00955697">
        <w:tc>
          <w:tcPr>
            <w:tcW w:w="3686" w:type="dxa"/>
            <w:shd w:val="clear" w:color="auto" w:fill="auto"/>
          </w:tcPr>
          <w:p w:rsidR="007A3B66" w:rsidRDefault="007A3B66" w:rsidP="00955697">
            <w:pPr>
              <w:jc w:val="center"/>
              <w:rPr>
                <w:rFonts w:ascii="Arial" w:hAnsi="Arial" w:cs="Arial"/>
                <w:b/>
                <w:sz w:val="20"/>
                <w:szCs w:val="20"/>
                <w:lang w:val="fr-FR" w:eastAsia="fr-FR"/>
              </w:rPr>
            </w:pPr>
          </w:p>
          <w:p w:rsidR="007A3B66" w:rsidRDefault="007A3B66" w:rsidP="00955697">
            <w:pPr>
              <w:jc w:val="center"/>
              <w:rPr>
                <w:rFonts w:ascii="Arial" w:hAnsi="Arial" w:cs="Arial"/>
                <w:b/>
                <w:sz w:val="20"/>
                <w:szCs w:val="20"/>
                <w:lang w:val="fr-FR" w:eastAsia="fr-FR"/>
              </w:rPr>
            </w:pPr>
            <w:r>
              <w:rPr>
                <w:rFonts w:ascii="Arial" w:hAnsi="Arial" w:cs="Arial"/>
                <w:b/>
                <w:sz w:val="20"/>
                <w:szCs w:val="20"/>
                <w:lang w:val="fr-FR" w:eastAsia="fr-FR"/>
              </w:rPr>
              <w:t>Objectif d’amélioration</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center"/>
              <w:rPr>
                <w:rFonts w:ascii="Arial" w:hAnsi="Arial" w:cs="Arial"/>
                <w:b/>
                <w:sz w:val="20"/>
                <w:szCs w:val="20"/>
                <w:lang w:val="fr-FR" w:eastAsia="fr-FR"/>
              </w:rPr>
            </w:pPr>
          </w:p>
          <w:p w:rsidR="007A3B66" w:rsidRDefault="007A3B66" w:rsidP="00955697">
            <w:pPr>
              <w:jc w:val="center"/>
              <w:rPr>
                <w:rFonts w:ascii="Arial" w:hAnsi="Arial" w:cs="Arial"/>
                <w:b/>
                <w:sz w:val="20"/>
                <w:szCs w:val="20"/>
                <w:lang w:val="fr-FR" w:eastAsia="fr-FR"/>
              </w:rPr>
            </w:pPr>
            <w:r>
              <w:rPr>
                <w:rFonts w:ascii="Arial" w:hAnsi="Arial" w:cs="Arial"/>
                <w:b/>
                <w:sz w:val="20"/>
                <w:szCs w:val="20"/>
                <w:lang w:val="fr-FR" w:eastAsia="fr-FR"/>
              </w:rPr>
              <w:t>Indicateurs</w:t>
            </w:r>
          </w:p>
        </w:tc>
        <w:tc>
          <w:tcPr>
            <w:tcW w:w="3544" w:type="dxa"/>
            <w:shd w:val="clear" w:color="auto" w:fill="auto"/>
          </w:tcPr>
          <w:p w:rsidR="007A3B66" w:rsidRDefault="007A3B66" w:rsidP="00955697">
            <w:pPr>
              <w:jc w:val="center"/>
              <w:rPr>
                <w:rFonts w:ascii="Arial" w:hAnsi="Arial" w:cs="Arial"/>
                <w:b/>
                <w:sz w:val="20"/>
                <w:szCs w:val="20"/>
                <w:lang w:val="fr-FR" w:eastAsia="fr-FR"/>
              </w:rPr>
            </w:pPr>
          </w:p>
          <w:p w:rsidR="007A3B66" w:rsidRDefault="007A3B66" w:rsidP="00955697">
            <w:pPr>
              <w:jc w:val="center"/>
              <w:rPr>
                <w:rFonts w:ascii="Arial" w:hAnsi="Arial" w:cs="Arial"/>
                <w:b/>
                <w:sz w:val="20"/>
                <w:szCs w:val="20"/>
                <w:lang w:val="fr-FR" w:eastAsia="fr-FR"/>
              </w:rPr>
            </w:pPr>
            <w:r>
              <w:rPr>
                <w:rFonts w:ascii="Arial" w:hAnsi="Arial" w:cs="Arial"/>
                <w:b/>
                <w:sz w:val="20"/>
                <w:szCs w:val="20"/>
                <w:lang w:val="fr-FR" w:eastAsia="fr-FR"/>
              </w:rPr>
              <w:t>Valeurs de référence</w:t>
            </w:r>
          </w:p>
        </w:tc>
      </w:tr>
      <w:tr w:rsidR="007A3B66" w:rsidTr="00955697">
        <w:trPr>
          <w:trHeight w:val="503"/>
        </w:trPr>
        <w:tc>
          <w:tcPr>
            <w:tcW w:w="3686" w:type="dxa"/>
            <w:vMerge w:val="restart"/>
            <w:shd w:val="clear" w:color="auto" w:fill="auto"/>
            <w:vAlign w:val="center"/>
          </w:tcPr>
          <w:p w:rsidR="007A3B66" w:rsidRDefault="007A3B66" w:rsidP="007A3B66">
            <w:pPr>
              <w:numPr>
                <w:ilvl w:val="0"/>
                <w:numId w:val="1"/>
              </w:numPr>
              <w:jc w:val="center"/>
              <w:rPr>
                <w:rFonts w:ascii="Arial" w:hAnsi="Arial" w:cs="Arial"/>
                <w:b/>
                <w:sz w:val="20"/>
                <w:szCs w:val="20"/>
                <w:lang w:eastAsia="fr-FR"/>
              </w:rPr>
            </w:pPr>
            <w:r>
              <w:rPr>
                <w:rFonts w:ascii="Arial" w:hAnsi="Arial" w:cs="Arial"/>
                <w:b/>
                <w:sz w:val="20"/>
                <w:szCs w:val="20"/>
                <w:lang w:eastAsia="fr-FR"/>
              </w:rPr>
              <w:t>Améliorer significativement les savoirs et compétences des élèves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 xml:space="preserve">Indicateur 1.1: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b/>
                <w:sz w:val="20"/>
                <w:szCs w:val="20"/>
                <w:lang w:val="fr-FR" w:eastAsia="fr-FR"/>
              </w:rPr>
            </w:pPr>
            <w:r>
              <w:rPr>
                <w:rFonts w:ascii="Arial" w:hAnsi="Arial" w:cs="Arial"/>
                <w:sz w:val="20"/>
                <w:szCs w:val="20"/>
                <w:lang w:eastAsia="fr-FR"/>
              </w:rPr>
              <w:t>Part des jeunes de 15 ans qui possèdent des compétences moyennes et des compétences de haut niveau dans chaque domaine couvert par PISA : sciences, mathématique et lecture</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 xml:space="preserve">Valeur de référence 1.1: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Atteindre en 2030 la moyenne des pays voisins aux tests PISA (ce qui signifie passer de 76 à 80% de la population concernée)</w:t>
            </w:r>
          </w:p>
          <w:p w:rsidR="007A3B66" w:rsidRDefault="007A3B66" w:rsidP="00955697">
            <w:pPr>
              <w:jc w:val="center"/>
              <w:rPr>
                <w:rFonts w:ascii="Arial" w:hAnsi="Arial" w:cs="Arial"/>
                <w:b/>
                <w:sz w:val="20"/>
                <w:szCs w:val="20"/>
                <w:lang w:val="fr-FR" w:eastAsia="fr-FR"/>
              </w:rPr>
            </w:pPr>
          </w:p>
        </w:tc>
      </w:tr>
      <w:tr w:rsidR="007A3B66" w:rsidTr="00955697">
        <w:trPr>
          <w:trHeight w:val="502"/>
        </w:trPr>
        <w:tc>
          <w:tcPr>
            <w:tcW w:w="3686" w:type="dxa"/>
            <w:vMerge/>
            <w:shd w:val="clear" w:color="auto" w:fill="auto"/>
            <w:vAlign w:val="center"/>
          </w:tcPr>
          <w:p w:rsidR="007A3B66" w:rsidRDefault="007A3B66" w:rsidP="007A3B66">
            <w:pPr>
              <w:numPr>
                <w:ilvl w:val="0"/>
                <w:numId w:val="1"/>
              </w:numPr>
              <w:jc w:val="center"/>
              <w:rPr>
                <w:rFonts w:ascii="Arial" w:hAnsi="Arial" w:cs="Arial"/>
                <w:b/>
                <w:sz w:val="20"/>
                <w:szCs w:val="20"/>
                <w:lang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 xml:space="preserve">Indicateur 1.2 :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b/>
                <w:sz w:val="20"/>
                <w:szCs w:val="20"/>
                <w:lang w:val="fr-FR" w:eastAsia="fr-FR"/>
              </w:rPr>
            </w:pPr>
            <w:r>
              <w:rPr>
                <w:rFonts w:ascii="Arial" w:hAnsi="Arial" w:cs="Arial"/>
                <w:sz w:val="20"/>
                <w:szCs w:val="20"/>
                <w:lang w:eastAsia="fr-FR"/>
              </w:rPr>
              <w:t>Part des jeunes de 15 ans qui possèdent des compétences de haut niveau dans chaque domaine couvert par PISA : sciences, mathématique et lecture</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1.2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Atteindre en 2030 la moyenne des pays voisins aux tests PISA (ce qui signifie passer de 12 à 15% de la population concernée)</w:t>
            </w:r>
          </w:p>
          <w:p w:rsidR="007A3B66" w:rsidRDefault="007A3B66" w:rsidP="00955697">
            <w:pPr>
              <w:jc w:val="center"/>
              <w:rPr>
                <w:rFonts w:ascii="Arial" w:hAnsi="Arial" w:cs="Arial"/>
                <w:b/>
                <w:sz w:val="20"/>
                <w:szCs w:val="20"/>
                <w:lang w:val="fr-FR" w:eastAsia="fr-FR"/>
              </w:rPr>
            </w:pPr>
          </w:p>
        </w:tc>
      </w:tr>
      <w:tr w:rsidR="007A3B66" w:rsidTr="00955697">
        <w:tc>
          <w:tcPr>
            <w:tcW w:w="3686" w:type="dxa"/>
            <w:vMerge/>
            <w:shd w:val="clear" w:color="auto" w:fill="auto"/>
            <w:vAlign w:val="center"/>
          </w:tcPr>
          <w:p w:rsidR="007A3B66" w:rsidRDefault="007A3B66" w:rsidP="007A3B66">
            <w:pPr>
              <w:numPr>
                <w:ilvl w:val="0"/>
                <w:numId w:val="1"/>
              </w:num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1.3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Résultats aux évaluations externes dans l’ensemble des matières couvertes mesurés sur la base du résultat moyen de l’ensemble des élèves (en ce compris pour la forme 4 de l’enseignement secondaire spécialisé)</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1.3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Pas de valeur chiffrée définie ; amélioration importante attendue</w:t>
            </w:r>
          </w:p>
          <w:p w:rsidR="007A3B66" w:rsidRDefault="007A3B66" w:rsidP="00955697">
            <w:pPr>
              <w:jc w:val="both"/>
              <w:rPr>
                <w:rFonts w:ascii="Arial" w:hAnsi="Arial" w:cs="Arial"/>
                <w:sz w:val="20"/>
                <w:szCs w:val="20"/>
                <w:lang w:val="fr-FR" w:eastAsia="fr-FR"/>
              </w:rPr>
            </w:pPr>
          </w:p>
        </w:tc>
      </w:tr>
      <w:tr w:rsidR="007A3B66" w:rsidTr="00955697">
        <w:tc>
          <w:tcPr>
            <w:tcW w:w="3686" w:type="dxa"/>
            <w:vMerge/>
            <w:shd w:val="clear" w:color="auto" w:fill="auto"/>
            <w:vAlign w:val="center"/>
          </w:tcPr>
          <w:p w:rsidR="007A3B66" w:rsidRDefault="007A3B66" w:rsidP="00955697">
            <w:pPr>
              <w:ind w:left="360"/>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1.4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Part des jeunes ayant fréquenté la forme 3 de l’enseignement secondaire spécialisé et ayant obtenu un certificat de qualification</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val="fr-FR" w:eastAsia="fr-FR"/>
              </w:rPr>
              <w:t>Part des jeunes ayant fréquenté les formes 1 et 2  de l’enseignement secondaire spécialisé et ayant obtenu une attestation de compétences</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1.4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val="fr-FR" w:eastAsia="fr-FR"/>
              </w:rPr>
              <w:t>Pas de valeur chiffrée définie ; amélioration attendue</w:t>
            </w:r>
          </w:p>
        </w:tc>
      </w:tr>
      <w:tr w:rsidR="007A3B66" w:rsidTr="00955697">
        <w:tc>
          <w:tcPr>
            <w:tcW w:w="3686" w:type="dxa"/>
            <w:shd w:val="clear" w:color="auto" w:fill="auto"/>
            <w:vAlign w:val="center"/>
          </w:tcPr>
          <w:p w:rsidR="007A3B66" w:rsidRDefault="007A3B66" w:rsidP="007A3B66">
            <w:pPr>
              <w:numPr>
                <w:ilvl w:val="0"/>
                <w:numId w:val="1"/>
              </w:numPr>
              <w:jc w:val="center"/>
              <w:rPr>
                <w:rFonts w:ascii="Arial" w:hAnsi="Arial" w:cs="Arial"/>
                <w:b/>
                <w:sz w:val="20"/>
                <w:szCs w:val="20"/>
                <w:lang w:eastAsia="fr-FR"/>
              </w:rPr>
            </w:pPr>
            <w:r>
              <w:rPr>
                <w:rFonts w:ascii="Arial" w:hAnsi="Arial" w:cs="Arial"/>
                <w:b/>
                <w:sz w:val="20"/>
                <w:szCs w:val="20"/>
                <w:lang w:eastAsia="fr-FR"/>
              </w:rPr>
              <w:t>Augmenter la part des jeunes diplômés de l’enseignement secondaire supérieur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 xml:space="preserve">La part des jeunes entre 20 et 24 ans diplômés de l’enseignement secondaire supérieur parmi les jeunes résidant sur le territoire de la Fédération Wallonie-Bruxelles </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Atteindre en 2030 l’objectif fixé au niveau européen, soit 85% de la population concernée (situation actuelle : 79% selon les chiffres d’Eurostat)</w:t>
            </w:r>
          </w:p>
          <w:p w:rsidR="007A3B66" w:rsidRDefault="007A3B66" w:rsidP="00955697">
            <w:pPr>
              <w:jc w:val="both"/>
              <w:rPr>
                <w:rFonts w:ascii="Arial" w:hAnsi="Arial" w:cs="Arial"/>
                <w:sz w:val="20"/>
                <w:szCs w:val="20"/>
                <w:lang w:val="fr-FR" w:eastAsia="fr-FR"/>
              </w:rPr>
            </w:pPr>
          </w:p>
        </w:tc>
      </w:tr>
      <w:tr w:rsidR="007A3B66" w:rsidTr="00955697">
        <w:tc>
          <w:tcPr>
            <w:tcW w:w="3686" w:type="dxa"/>
            <w:shd w:val="clear" w:color="auto" w:fill="auto"/>
            <w:vAlign w:val="center"/>
          </w:tcPr>
          <w:p w:rsidR="007A3B66" w:rsidRDefault="007A3B66" w:rsidP="007A3B66">
            <w:pPr>
              <w:numPr>
                <w:ilvl w:val="0"/>
                <w:numId w:val="1"/>
              </w:numPr>
              <w:jc w:val="center"/>
              <w:rPr>
                <w:rFonts w:ascii="Arial" w:hAnsi="Arial" w:cs="Arial"/>
                <w:b/>
                <w:sz w:val="20"/>
                <w:szCs w:val="20"/>
                <w:lang w:eastAsia="fr-FR"/>
              </w:rPr>
            </w:pPr>
            <w:r>
              <w:rPr>
                <w:rFonts w:ascii="Arial" w:hAnsi="Arial" w:cs="Arial"/>
                <w:b/>
                <w:sz w:val="20"/>
                <w:szCs w:val="20"/>
                <w:lang w:eastAsia="fr-FR"/>
              </w:rPr>
              <w:t xml:space="preserve">Réduire les différences entre les résultats des élèves les plus favorisés et des élèves les </w:t>
            </w:r>
            <w:r>
              <w:rPr>
                <w:rFonts w:ascii="Arial" w:hAnsi="Arial" w:cs="Arial"/>
                <w:b/>
                <w:sz w:val="20"/>
                <w:szCs w:val="20"/>
                <w:lang w:eastAsia="fr-FR"/>
              </w:rPr>
              <w:lastRenderedPageBreak/>
              <w:t>moins favorisés d’un point de vue socio-économique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lastRenderedPageBreak/>
              <w:t>Indicateur 3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 xml:space="preserve">La différence entre les résultats des élèves les plus favorisés et ceux des </w:t>
            </w:r>
            <w:r>
              <w:rPr>
                <w:rFonts w:ascii="Arial" w:hAnsi="Arial" w:cs="Arial"/>
                <w:sz w:val="20"/>
                <w:szCs w:val="20"/>
                <w:lang w:eastAsia="fr-FR"/>
              </w:rPr>
              <w:lastRenderedPageBreak/>
              <w:t>élèves les moins favorisés d’un point de vue socio-économique aux tests PISA</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lastRenderedPageBreak/>
              <w:t>Valeur de référence 3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 xml:space="preserve">Atteindre en 2030 la moyenne de cette différence dans les pays voisins </w:t>
            </w:r>
            <w:r>
              <w:rPr>
                <w:rFonts w:ascii="Arial" w:hAnsi="Arial" w:cs="Arial"/>
                <w:sz w:val="20"/>
                <w:szCs w:val="20"/>
                <w:lang w:eastAsia="fr-FR"/>
              </w:rPr>
              <w:lastRenderedPageBreak/>
              <w:t xml:space="preserve">(ce qui signifie passer de 112 points de différence à 101 points de différence) </w:t>
            </w:r>
          </w:p>
          <w:p w:rsidR="007A3B66" w:rsidRDefault="007A3B66" w:rsidP="00955697">
            <w:pPr>
              <w:jc w:val="both"/>
              <w:rPr>
                <w:rFonts w:ascii="Arial" w:hAnsi="Arial" w:cs="Arial"/>
                <w:sz w:val="20"/>
                <w:szCs w:val="20"/>
                <w:lang w:val="fr-FR" w:eastAsia="fr-FR"/>
              </w:rPr>
            </w:pPr>
          </w:p>
        </w:tc>
      </w:tr>
      <w:tr w:rsidR="007A3B66" w:rsidTr="00955697">
        <w:trPr>
          <w:trHeight w:val="458"/>
        </w:trPr>
        <w:tc>
          <w:tcPr>
            <w:tcW w:w="3686" w:type="dxa"/>
            <w:vMerge w:val="restart"/>
            <w:shd w:val="clear" w:color="auto" w:fill="auto"/>
            <w:vAlign w:val="center"/>
          </w:tcPr>
          <w:p w:rsidR="007A3B66" w:rsidRDefault="007A3B66" w:rsidP="007A3B66">
            <w:pPr>
              <w:numPr>
                <w:ilvl w:val="0"/>
                <w:numId w:val="1"/>
              </w:numPr>
              <w:rPr>
                <w:rFonts w:ascii="Arial" w:hAnsi="Arial" w:cs="Arial"/>
                <w:b/>
                <w:sz w:val="20"/>
                <w:szCs w:val="20"/>
                <w:lang w:eastAsia="fr-FR"/>
              </w:rPr>
            </w:pPr>
            <w:r>
              <w:rPr>
                <w:rFonts w:ascii="Arial" w:hAnsi="Arial" w:cs="Arial"/>
                <w:b/>
                <w:sz w:val="20"/>
                <w:szCs w:val="20"/>
                <w:lang w:eastAsia="fr-FR"/>
              </w:rPr>
              <w:lastRenderedPageBreak/>
              <w:t xml:space="preserve">Réduire progressivement le redoublement et le décrochage ;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4.1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Part des élèves considérés comme « redoublants » (est considéré comme « redoublant » tout élève qui est inscrit deux années scolaires successives dans la même année d’étude) une année scolaire donnée, parmi les élèves fréquentant l’enseignement primaire ordinaire et les 6 premières années de l’enseignement secondaire ordinaire de plein exercice</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4.1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val="fr-FR" w:eastAsia="fr-FR"/>
              </w:rPr>
              <w:t>Diminution de 50% par rapport à la situation actuelle à l’horizon 2030 (passer de 7,6% en 2016-2017 à 3,8% en 2030-2031 : en primaire, passer de 3,0% à 1,5% et en secondaire de 12% à 6%, de façon à favoriser la réduction du retard scolaire et passer de 17% d’élèves en retard en 5</w:t>
            </w:r>
            <w:r>
              <w:rPr>
                <w:rFonts w:ascii="Arial" w:hAnsi="Arial" w:cs="Arial"/>
                <w:sz w:val="20"/>
                <w:szCs w:val="20"/>
                <w:vertAlign w:val="superscript"/>
                <w:lang w:val="fr-FR" w:eastAsia="fr-FR"/>
              </w:rPr>
              <w:t xml:space="preserve">e </w:t>
            </w:r>
            <w:r>
              <w:rPr>
                <w:rFonts w:ascii="Arial" w:hAnsi="Arial" w:cs="Arial"/>
                <w:sz w:val="20"/>
                <w:szCs w:val="20"/>
                <w:lang w:val="fr-FR" w:eastAsia="fr-FR"/>
              </w:rPr>
              <w:t>primaire en 2016-2017 à 10% en 2030-2031 et de 59 % d’élèves en retard en 5</w:t>
            </w:r>
            <w:r>
              <w:rPr>
                <w:rFonts w:ascii="Arial" w:hAnsi="Arial" w:cs="Arial"/>
                <w:sz w:val="20"/>
                <w:szCs w:val="20"/>
                <w:vertAlign w:val="superscript"/>
                <w:lang w:val="fr-FR" w:eastAsia="fr-FR"/>
              </w:rPr>
              <w:t>e </w:t>
            </w:r>
            <w:r>
              <w:rPr>
                <w:rFonts w:ascii="Arial" w:hAnsi="Arial" w:cs="Arial"/>
                <w:sz w:val="20"/>
                <w:szCs w:val="20"/>
                <w:lang w:val="fr-FR" w:eastAsia="fr-FR"/>
              </w:rPr>
              <w:t>secondaire en 2016-2017 à 40 %  en 2030-2031)</w:t>
            </w:r>
          </w:p>
          <w:p w:rsidR="007A3B66" w:rsidRDefault="007A3B66" w:rsidP="00955697">
            <w:pPr>
              <w:jc w:val="both"/>
              <w:rPr>
                <w:rFonts w:ascii="Arial" w:hAnsi="Arial" w:cs="Arial"/>
                <w:sz w:val="20"/>
                <w:szCs w:val="20"/>
                <w:lang w:val="fr-FR" w:eastAsia="fr-FR"/>
              </w:rPr>
            </w:pPr>
          </w:p>
        </w:tc>
      </w:tr>
      <w:tr w:rsidR="007A3B66" w:rsidTr="00955697">
        <w:trPr>
          <w:trHeight w:val="457"/>
        </w:trPr>
        <w:tc>
          <w:tcPr>
            <w:tcW w:w="3686" w:type="dxa"/>
            <w:vMerge/>
            <w:shd w:val="clear" w:color="auto" w:fill="auto"/>
            <w:vAlign w:val="center"/>
          </w:tcPr>
          <w:p w:rsidR="007A3B66" w:rsidRDefault="007A3B66" w:rsidP="00955697">
            <w:pPr>
              <w:jc w:val="center"/>
              <w:rPr>
                <w:rFonts w:ascii="Arial" w:hAnsi="Arial" w:cs="Arial"/>
                <w:b/>
                <w:sz w:val="20"/>
                <w:szCs w:val="20"/>
                <w:lang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4.2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Part des élèves considérés comme « ayant décroché »</w:t>
            </w:r>
            <w:r>
              <w:rPr>
                <w:rFonts w:ascii="Arial" w:hAnsi="Arial" w:cs="Arial"/>
                <w:sz w:val="20"/>
                <w:szCs w:val="20"/>
                <w:vertAlign w:val="superscript"/>
                <w:lang w:eastAsia="fr-FR"/>
              </w:rPr>
              <w:footnoteReference w:id="1"/>
            </w:r>
            <w:r>
              <w:rPr>
                <w:rFonts w:ascii="Arial" w:hAnsi="Arial" w:cs="Arial"/>
                <w:sz w:val="20"/>
                <w:szCs w:val="20"/>
                <w:lang w:eastAsia="fr-FR"/>
              </w:rPr>
              <w:t xml:space="preserve"> une année scolaire donnée, parmi les élèves fréquentant les 3</w:t>
            </w:r>
            <w:r>
              <w:rPr>
                <w:rFonts w:ascii="Arial" w:hAnsi="Arial" w:cs="Arial"/>
                <w:sz w:val="20"/>
                <w:szCs w:val="20"/>
                <w:vertAlign w:val="superscript"/>
                <w:lang w:eastAsia="fr-FR"/>
              </w:rPr>
              <w:t>e</w:t>
            </w:r>
            <w:r>
              <w:rPr>
                <w:rFonts w:ascii="Arial" w:hAnsi="Arial" w:cs="Arial"/>
                <w:sz w:val="20"/>
                <w:szCs w:val="20"/>
                <w:lang w:eastAsia="fr-FR"/>
              </w:rPr>
              <w:t>, 4</w:t>
            </w:r>
            <w:r>
              <w:rPr>
                <w:rFonts w:ascii="Arial" w:hAnsi="Arial" w:cs="Arial"/>
                <w:sz w:val="20"/>
                <w:szCs w:val="20"/>
                <w:vertAlign w:val="superscript"/>
                <w:lang w:eastAsia="fr-FR"/>
              </w:rPr>
              <w:t>e</w:t>
            </w:r>
            <w:r>
              <w:rPr>
                <w:rFonts w:ascii="Arial" w:hAnsi="Arial" w:cs="Arial"/>
                <w:sz w:val="20"/>
                <w:szCs w:val="20"/>
                <w:lang w:eastAsia="fr-FR"/>
              </w:rPr>
              <w:t xml:space="preserve"> et 5</w:t>
            </w:r>
            <w:r>
              <w:rPr>
                <w:rFonts w:ascii="Arial" w:hAnsi="Arial" w:cs="Arial"/>
                <w:sz w:val="20"/>
                <w:szCs w:val="20"/>
                <w:vertAlign w:val="superscript"/>
                <w:lang w:eastAsia="fr-FR"/>
              </w:rPr>
              <w:t>e</w:t>
            </w:r>
            <w:r>
              <w:rPr>
                <w:rFonts w:ascii="Arial" w:hAnsi="Arial" w:cs="Arial"/>
                <w:sz w:val="20"/>
                <w:szCs w:val="20"/>
                <w:lang w:eastAsia="fr-FR"/>
              </w:rPr>
              <w:t xml:space="preserve"> années secondaires de l’enseignement ordinaire de plein exercice</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4.2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Diminution de 50% par rapport à la situation actuelle à l’horizon 2030 (passer de 5,4% en 2016 à 2,7% en 2030)</w:t>
            </w:r>
          </w:p>
        </w:tc>
      </w:tr>
      <w:tr w:rsidR="007A3B66" w:rsidTr="00955697">
        <w:trPr>
          <w:trHeight w:val="457"/>
        </w:trPr>
        <w:tc>
          <w:tcPr>
            <w:tcW w:w="3686" w:type="dxa"/>
            <w:vMerge/>
            <w:shd w:val="clear" w:color="auto" w:fill="auto"/>
            <w:vAlign w:val="center"/>
          </w:tcPr>
          <w:p w:rsidR="007A3B66" w:rsidRDefault="007A3B66" w:rsidP="00955697">
            <w:pPr>
              <w:jc w:val="center"/>
              <w:rPr>
                <w:rFonts w:ascii="Arial" w:hAnsi="Arial" w:cs="Arial"/>
                <w:b/>
                <w:sz w:val="20"/>
                <w:szCs w:val="20"/>
                <w:lang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 xml:space="preserve">Indicateur 4.3 :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Part des élèves fréquentant l’enseignement spécialisé et résidant en Belgique qui ne sont plus inscrits dans une école organisée ou subventionnée par la Communauté française l’année scolaire suivante, alors qu’ils ont de 15 à 17 ans accomplis</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4.3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Pas de valeur de référence chiffrée.</w:t>
            </w:r>
          </w:p>
        </w:tc>
      </w:tr>
      <w:tr w:rsidR="007A3B66" w:rsidTr="00955697">
        <w:tc>
          <w:tcPr>
            <w:tcW w:w="3686" w:type="dxa"/>
            <w:shd w:val="clear" w:color="auto" w:fill="auto"/>
            <w:vAlign w:val="center"/>
          </w:tcPr>
          <w:p w:rsidR="007A3B66" w:rsidRDefault="007A3B66" w:rsidP="007A3B66">
            <w:pPr>
              <w:numPr>
                <w:ilvl w:val="0"/>
                <w:numId w:val="1"/>
              </w:numPr>
              <w:jc w:val="center"/>
              <w:rPr>
                <w:rFonts w:ascii="Arial" w:hAnsi="Arial" w:cs="Arial"/>
                <w:b/>
                <w:sz w:val="20"/>
                <w:szCs w:val="20"/>
                <w:lang w:eastAsia="fr-FR"/>
              </w:rPr>
            </w:pPr>
            <w:r>
              <w:rPr>
                <w:rFonts w:ascii="Arial" w:hAnsi="Arial" w:cs="Arial"/>
                <w:b/>
                <w:sz w:val="20"/>
                <w:szCs w:val="20"/>
                <w:lang w:eastAsia="fr-FR"/>
              </w:rPr>
              <w:t>Réduire les changements d’école au sein du tronc commun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5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Part des élèves changeant d’établissement</w:t>
            </w:r>
            <w:r>
              <w:rPr>
                <w:rFonts w:ascii="Arial" w:hAnsi="Arial" w:cs="Arial"/>
                <w:sz w:val="20"/>
                <w:szCs w:val="20"/>
                <w:vertAlign w:val="superscript"/>
                <w:lang w:eastAsia="fr-FR"/>
              </w:rPr>
              <w:footnoteReference w:id="2"/>
            </w:r>
            <w:r>
              <w:rPr>
                <w:rFonts w:ascii="Arial" w:hAnsi="Arial" w:cs="Arial"/>
                <w:sz w:val="20"/>
                <w:szCs w:val="20"/>
                <w:lang w:eastAsia="fr-FR"/>
              </w:rPr>
              <w:t xml:space="preserve"> entre deux années scolaires successives parmi les élèves inscrits de  </w:t>
            </w:r>
            <w:r>
              <w:rPr>
                <w:rFonts w:ascii="Arial" w:hAnsi="Arial" w:cs="Arial"/>
                <w:sz w:val="20"/>
                <w:szCs w:val="20"/>
                <w:lang w:val="fr-FR" w:eastAsia="fr-FR"/>
              </w:rPr>
              <w:t>la 1</w:t>
            </w:r>
            <w:r>
              <w:rPr>
                <w:rFonts w:ascii="Arial" w:hAnsi="Arial" w:cs="Arial"/>
                <w:sz w:val="20"/>
                <w:szCs w:val="20"/>
                <w:vertAlign w:val="superscript"/>
                <w:lang w:val="fr-FR" w:eastAsia="fr-FR"/>
              </w:rPr>
              <w:t>re</w:t>
            </w:r>
            <w:r>
              <w:rPr>
                <w:rFonts w:ascii="Arial" w:hAnsi="Arial" w:cs="Arial"/>
                <w:sz w:val="20"/>
                <w:szCs w:val="20"/>
                <w:lang w:val="fr-FR" w:eastAsia="fr-FR"/>
              </w:rPr>
              <w:t xml:space="preserve"> à la 6</w:t>
            </w:r>
            <w:r>
              <w:rPr>
                <w:rFonts w:ascii="Arial" w:hAnsi="Arial" w:cs="Arial"/>
                <w:sz w:val="20"/>
                <w:szCs w:val="20"/>
                <w:vertAlign w:val="superscript"/>
                <w:lang w:val="fr-FR" w:eastAsia="fr-FR"/>
              </w:rPr>
              <w:t>e</w:t>
            </w:r>
            <w:r>
              <w:rPr>
                <w:rFonts w:ascii="Arial" w:hAnsi="Arial" w:cs="Arial"/>
                <w:sz w:val="20"/>
                <w:szCs w:val="20"/>
                <w:lang w:val="fr-FR" w:eastAsia="fr-FR"/>
              </w:rPr>
              <w:t xml:space="preserve"> année primaire et de la 1</w:t>
            </w:r>
            <w:r>
              <w:rPr>
                <w:rFonts w:ascii="Arial" w:hAnsi="Arial" w:cs="Arial"/>
                <w:sz w:val="20"/>
                <w:szCs w:val="20"/>
                <w:vertAlign w:val="superscript"/>
                <w:lang w:val="fr-FR" w:eastAsia="fr-FR"/>
              </w:rPr>
              <w:t>ère</w:t>
            </w:r>
            <w:r>
              <w:rPr>
                <w:rFonts w:ascii="Arial" w:hAnsi="Arial" w:cs="Arial"/>
                <w:sz w:val="20"/>
                <w:szCs w:val="20"/>
                <w:lang w:val="fr-FR" w:eastAsia="fr-FR"/>
              </w:rPr>
              <w:t xml:space="preserve"> à la 3</w:t>
            </w:r>
            <w:r>
              <w:rPr>
                <w:rFonts w:ascii="Arial" w:hAnsi="Arial" w:cs="Arial"/>
                <w:sz w:val="20"/>
                <w:szCs w:val="20"/>
                <w:vertAlign w:val="superscript"/>
                <w:lang w:val="fr-FR" w:eastAsia="fr-FR"/>
              </w:rPr>
              <w:t>ème</w:t>
            </w:r>
            <w:r>
              <w:rPr>
                <w:rFonts w:ascii="Arial" w:hAnsi="Arial" w:cs="Arial"/>
                <w:sz w:val="20"/>
                <w:szCs w:val="20"/>
                <w:lang w:val="fr-FR" w:eastAsia="fr-FR"/>
              </w:rPr>
              <w:t xml:space="preserve"> année secondaire </w:t>
            </w:r>
            <w:r>
              <w:rPr>
                <w:rFonts w:ascii="Arial" w:hAnsi="Arial" w:cs="Arial"/>
                <w:sz w:val="20"/>
                <w:szCs w:val="20"/>
                <w:lang w:eastAsia="fr-FR"/>
              </w:rPr>
              <w:t>dans l’enseignement ordinaire de plein exercice. Entre 2015-2016 et 2016-2017, le taux de changement est de 12% dans l’enseignement primaire et de 22% dans l’enseignement secondaire</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5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à venir.</w:t>
            </w:r>
          </w:p>
          <w:p w:rsidR="007A3B66" w:rsidRDefault="007A3B66" w:rsidP="00955697">
            <w:pPr>
              <w:jc w:val="both"/>
              <w:rPr>
                <w:rFonts w:ascii="Arial" w:hAnsi="Arial" w:cs="Arial"/>
                <w:sz w:val="20"/>
                <w:szCs w:val="20"/>
                <w:lang w:val="fr-FR" w:eastAsia="fr-FR"/>
              </w:rPr>
            </w:pPr>
          </w:p>
        </w:tc>
      </w:tr>
      <w:tr w:rsidR="007A3B66" w:rsidTr="00955697">
        <w:tc>
          <w:tcPr>
            <w:tcW w:w="3686" w:type="dxa"/>
            <w:vMerge w:val="restart"/>
            <w:shd w:val="clear" w:color="auto" w:fill="auto"/>
            <w:vAlign w:val="center"/>
          </w:tcPr>
          <w:p w:rsidR="007A3B66" w:rsidRDefault="007A3B66" w:rsidP="007A3B66">
            <w:pPr>
              <w:numPr>
                <w:ilvl w:val="0"/>
                <w:numId w:val="1"/>
              </w:numPr>
              <w:jc w:val="center"/>
              <w:rPr>
                <w:rFonts w:ascii="Arial" w:hAnsi="Arial" w:cs="Arial"/>
                <w:b/>
                <w:sz w:val="20"/>
                <w:szCs w:val="20"/>
                <w:lang w:eastAsia="fr-FR"/>
              </w:rPr>
            </w:pPr>
            <w:r>
              <w:rPr>
                <w:rFonts w:ascii="Arial" w:hAnsi="Arial" w:cs="Arial"/>
                <w:b/>
                <w:sz w:val="20"/>
                <w:szCs w:val="20"/>
                <w:lang w:eastAsia="fr-FR"/>
              </w:rPr>
              <w:t xml:space="preserve">Augmenter progressivement l’inclusion des élèves à besoins spécifiques dans l’enseignement ordinaire ;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6.1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Pourcentage d’élèves pris en charge dans l’enseignement spécialisé par rapport à la population scolaire totale</w:t>
            </w:r>
          </w:p>
          <w:p w:rsidR="007A3B66" w:rsidRDefault="007A3B66" w:rsidP="00955697">
            <w:pPr>
              <w:jc w:val="both"/>
              <w:rPr>
                <w:rFonts w:ascii="Arial" w:hAnsi="Arial" w:cs="Arial"/>
                <w:sz w:val="20"/>
                <w:szCs w:val="20"/>
                <w:lang w:val="fr-FR" w:eastAsia="fr-FR"/>
              </w:rPr>
            </w:pP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6.1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Revenir à l’horizon 2030 au pourcentage d’élèves pris en charge par l’enseignement spécialisé en 2004</w:t>
            </w:r>
          </w:p>
          <w:p w:rsidR="007A3B66" w:rsidRDefault="007A3B66" w:rsidP="00955697">
            <w:pPr>
              <w:jc w:val="both"/>
              <w:rPr>
                <w:rFonts w:ascii="Arial" w:hAnsi="Arial" w:cs="Arial"/>
                <w:sz w:val="20"/>
                <w:szCs w:val="20"/>
                <w:lang w:val="fr-FR" w:eastAsia="fr-FR"/>
              </w:rPr>
            </w:pPr>
          </w:p>
        </w:tc>
      </w:tr>
      <w:tr w:rsidR="007A3B66" w:rsidTr="00955697">
        <w:tc>
          <w:tcPr>
            <w:tcW w:w="3686" w:type="dxa"/>
            <w:vMerge/>
            <w:shd w:val="clear" w:color="auto" w:fill="auto"/>
            <w:vAlign w:val="center"/>
          </w:tcPr>
          <w:p w:rsidR="007A3B66" w:rsidRDefault="007A3B66" w:rsidP="00955697">
            <w:pPr>
              <w:ind w:left="360"/>
              <w:rPr>
                <w:rFonts w:ascii="Arial" w:hAnsi="Arial" w:cs="Arial"/>
                <w:b/>
                <w:sz w:val="20"/>
                <w:szCs w:val="20"/>
                <w:lang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6.2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Part d’élèves inscrits dans l’enseignement spécialisé l’année t et inscrits dans l’enseignement ordinaire en t+1</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6.2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val="fr-FR" w:eastAsia="fr-FR"/>
              </w:rPr>
              <w:t>Pas de valeur chiffrée ; augmentation attendue</w:t>
            </w:r>
          </w:p>
          <w:p w:rsidR="007A3B66" w:rsidRDefault="007A3B66" w:rsidP="00955697">
            <w:pPr>
              <w:jc w:val="both"/>
              <w:rPr>
                <w:rFonts w:ascii="Arial" w:hAnsi="Arial" w:cs="Arial"/>
                <w:sz w:val="20"/>
                <w:szCs w:val="20"/>
                <w:lang w:eastAsia="fr-FR"/>
              </w:rPr>
            </w:pPr>
          </w:p>
        </w:tc>
      </w:tr>
      <w:tr w:rsidR="007A3B66" w:rsidTr="00955697">
        <w:tc>
          <w:tcPr>
            <w:tcW w:w="3686" w:type="dxa"/>
            <w:shd w:val="clear" w:color="auto" w:fill="auto"/>
            <w:vAlign w:val="center"/>
          </w:tcPr>
          <w:p w:rsidR="007A3B66" w:rsidRDefault="007A3B66" w:rsidP="007A3B66">
            <w:pPr>
              <w:numPr>
                <w:ilvl w:val="0"/>
                <w:numId w:val="1"/>
              </w:numPr>
              <w:rPr>
                <w:rFonts w:ascii="Arial" w:hAnsi="Arial" w:cs="Arial"/>
                <w:b/>
                <w:sz w:val="20"/>
                <w:szCs w:val="20"/>
                <w:lang w:eastAsia="fr-FR"/>
              </w:rPr>
            </w:pPr>
            <w:r>
              <w:rPr>
                <w:rFonts w:ascii="Arial" w:hAnsi="Arial" w:cs="Arial"/>
                <w:b/>
                <w:sz w:val="20"/>
                <w:szCs w:val="20"/>
                <w:lang w:eastAsia="fr-FR"/>
              </w:rPr>
              <w:t xml:space="preserve">Accroître les indices du bien-être à l’école et du climat scolaire </w:t>
            </w:r>
          </w:p>
          <w:p w:rsidR="007A3B66" w:rsidRDefault="007A3B66" w:rsidP="00955697">
            <w:pPr>
              <w:jc w:val="center"/>
              <w:rPr>
                <w:rFonts w:ascii="Arial" w:hAnsi="Arial" w:cs="Arial"/>
                <w:b/>
                <w:sz w:val="20"/>
                <w:szCs w:val="20"/>
                <w:lang w:val="fr-FR" w:eastAsia="fr-FR"/>
              </w:rPr>
            </w:pPr>
          </w:p>
        </w:tc>
        <w:tc>
          <w:tcPr>
            <w:tcW w:w="3402"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Indicateur 7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A construire dans le cadre de la réalisation d’une enquête multidimensionnelle et systémique, réalisée tous les 5 ans auprès des différents publics de l’école, tant dans l’enseignement ordinaire que dans l’enseignement spécialisé (élèves, parents, équipes éducatives), ciblant les relations au sein de la communauté scolaire, le plaisir d’apprendre et d’enseigner, l’environnement d’apprentissage, la sécurité, l’environnement physique, le sentiment d’appartenance, et se basant également sur les données relatives à l’exclusion, l’absentéisme des élèves, à la stabilité des équipes éducatives…</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L’enquête aura notamment pour objectif de vérifier les évolutions suivantes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eastAsia="fr-FR"/>
              </w:rPr>
            </w:pPr>
            <w:r>
              <w:rPr>
                <w:rFonts w:ascii="Arial" w:hAnsi="Arial" w:cs="Arial"/>
                <w:sz w:val="20"/>
                <w:szCs w:val="20"/>
                <w:lang w:eastAsia="fr-FR"/>
              </w:rPr>
              <w:t>-% des élèves se déclarant heureux d’aller à l’école ;</w:t>
            </w:r>
          </w:p>
          <w:p w:rsidR="007A3B66" w:rsidRDefault="007A3B66" w:rsidP="00955697">
            <w:pPr>
              <w:jc w:val="both"/>
              <w:rPr>
                <w:rFonts w:ascii="Arial" w:hAnsi="Arial" w:cs="Arial"/>
                <w:sz w:val="20"/>
                <w:szCs w:val="20"/>
                <w:lang w:eastAsia="fr-FR"/>
              </w:rPr>
            </w:pPr>
            <w:r>
              <w:rPr>
                <w:rFonts w:ascii="Arial" w:hAnsi="Arial" w:cs="Arial"/>
                <w:sz w:val="20"/>
                <w:szCs w:val="20"/>
                <w:lang w:eastAsia="fr-FR"/>
              </w:rPr>
              <w:t>-% des enseignants, directions et autres personnels se déclarant épanouis dans leur travail et satisfaits de leurs conditions de travail ;</w:t>
            </w: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 des parents qui ont confiance dans l’école et se déclarant satisfaits de la prise en charge de leur enfant à l’école</w:t>
            </w:r>
          </w:p>
        </w:tc>
        <w:tc>
          <w:tcPr>
            <w:tcW w:w="3544" w:type="dxa"/>
            <w:shd w:val="clear" w:color="auto" w:fill="auto"/>
          </w:tcPr>
          <w:p w:rsidR="007A3B66" w:rsidRDefault="007A3B66" w:rsidP="00955697">
            <w:pPr>
              <w:jc w:val="both"/>
              <w:rPr>
                <w:rFonts w:ascii="Arial" w:hAnsi="Arial" w:cs="Arial"/>
                <w:sz w:val="20"/>
                <w:szCs w:val="20"/>
                <w:lang w:eastAsia="fr-FR"/>
              </w:rPr>
            </w:pPr>
            <w:r>
              <w:rPr>
                <w:rFonts w:ascii="Arial" w:hAnsi="Arial" w:cs="Arial"/>
                <w:sz w:val="20"/>
                <w:szCs w:val="20"/>
                <w:lang w:eastAsia="fr-FR"/>
              </w:rPr>
              <w:t>Valeur de référence 7 :</w:t>
            </w:r>
          </w:p>
          <w:p w:rsidR="007A3B66" w:rsidRDefault="007A3B66" w:rsidP="00955697">
            <w:pPr>
              <w:jc w:val="both"/>
              <w:rPr>
                <w:rFonts w:ascii="Arial" w:hAnsi="Arial" w:cs="Arial"/>
                <w:sz w:val="20"/>
                <w:szCs w:val="20"/>
                <w:lang w:eastAsia="fr-FR"/>
              </w:rPr>
            </w:pPr>
          </w:p>
          <w:p w:rsidR="007A3B66" w:rsidRDefault="007A3B66" w:rsidP="00955697">
            <w:pPr>
              <w:jc w:val="both"/>
              <w:rPr>
                <w:rFonts w:ascii="Arial" w:hAnsi="Arial" w:cs="Arial"/>
                <w:sz w:val="20"/>
                <w:szCs w:val="20"/>
                <w:lang w:val="fr-FR" w:eastAsia="fr-FR"/>
              </w:rPr>
            </w:pPr>
            <w:r>
              <w:rPr>
                <w:rFonts w:ascii="Arial" w:hAnsi="Arial" w:cs="Arial"/>
                <w:sz w:val="20"/>
                <w:szCs w:val="20"/>
                <w:lang w:eastAsia="fr-FR"/>
              </w:rPr>
              <w:t>à venir ;</w:t>
            </w:r>
          </w:p>
        </w:tc>
      </w:tr>
    </w:tbl>
    <w:p w:rsidR="007A3B66" w:rsidRDefault="007A3B66" w:rsidP="007A3B66">
      <w:pPr>
        <w:jc w:val="center"/>
        <w:rPr>
          <w:rFonts w:ascii="Arial" w:hAnsi="Arial" w:cs="Arial"/>
          <w:b/>
          <w:lang w:val="fr-FR" w:eastAsia="fr-FR"/>
        </w:rPr>
      </w:pPr>
    </w:p>
    <w:p w:rsidR="007A3B66" w:rsidRDefault="007A3B66" w:rsidP="007A3B66">
      <w:pPr>
        <w:jc w:val="center"/>
        <w:rPr>
          <w:rFonts w:ascii="Arial" w:hAnsi="Arial" w:cs="Arial"/>
          <w:b/>
          <w:lang w:val="fr-FR" w:eastAsia="fr-FR"/>
        </w:rPr>
      </w:pPr>
    </w:p>
    <w:p w:rsidR="007A3B66" w:rsidRDefault="007A3B66" w:rsidP="007A3B66">
      <w:pPr>
        <w:jc w:val="center"/>
        <w:rPr>
          <w:rFonts w:ascii="Arial" w:hAnsi="Arial" w:cs="Arial"/>
          <w:b/>
          <w:lang w:val="fr-FR" w:eastAsia="fr-FR"/>
        </w:rPr>
      </w:pPr>
    </w:p>
    <w:p w:rsidR="007A3B66" w:rsidRDefault="007A3B66" w:rsidP="007A3B66">
      <w:pPr>
        <w:jc w:val="both"/>
        <w:rPr>
          <w:lang w:eastAsia="fr-FR"/>
        </w:rPr>
      </w:pPr>
      <w:r>
        <w:rPr>
          <w:rFonts w:ascii="Arial" w:hAnsi="Arial" w:cs="Arial"/>
          <w:bCs/>
          <w:lang w:eastAsia="fr-FR"/>
        </w:rPr>
        <w:t>Vu pour être annexé au décret du 24 juillet 1997 définissant les missions prioritaires de l'enseignement fondamental et de l'enseignement secondaire et organisant les structures propres à les atteindre </w:t>
      </w:r>
    </w:p>
    <w:p w:rsidR="007A3B66" w:rsidRDefault="007A3B66" w:rsidP="007A3B66">
      <w:pPr>
        <w:ind w:left="1440" w:hanging="1440"/>
        <w:jc w:val="both"/>
        <w:rPr>
          <w:rFonts w:ascii="Arial" w:hAnsi="Arial" w:cs="Arial"/>
          <w:lang w:val="fr-FR" w:eastAsia="fr-FR"/>
        </w:rPr>
      </w:pPr>
    </w:p>
    <w:p w:rsidR="007A3B66" w:rsidRDefault="007A3B66" w:rsidP="007A3B66">
      <w:pPr>
        <w:ind w:left="1440" w:hanging="1440"/>
        <w:jc w:val="both"/>
        <w:rPr>
          <w:rFonts w:ascii="Arial" w:hAnsi="Arial" w:cs="Arial"/>
          <w:lang w:val="fr-FR" w:eastAsia="fr-FR"/>
        </w:rPr>
      </w:pPr>
      <w:r>
        <w:rPr>
          <w:rFonts w:ascii="Arial" w:hAnsi="Arial" w:cs="Arial"/>
          <w:lang w:val="fr-FR" w:eastAsia="fr-FR"/>
        </w:rPr>
        <w:t>Bruxelles, le …</w:t>
      </w:r>
    </w:p>
    <w:p w:rsidR="007A3B66" w:rsidRDefault="007A3B66" w:rsidP="007A3B66">
      <w:pPr>
        <w:ind w:left="1440" w:hanging="1440"/>
        <w:jc w:val="center"/>
        <w:rPr>
          <w:rFonts w:ascii="Arial" w:hAnsi="Arial" w:cs="Arial"/>
          <w:lang w:val="fr-FR" w:eastAsia="fr-FR"/>
        </w:rPr>
      </w:pPr>
    </w:p>
    <w:p w:rsidR="007A3B66" w:rsidRDefault="007A3B66" w:rsidP="007A3B66">
      <w:pPr>
        <w:ind w:left="1440" w:hanging="1440"/>
        <w:jc w:val="center"/>
        <w:rPr>
          <w:rFonts w:ascii="Arial" w:hAnsi="Arial" w:cs="Arial"/>
          <w:lang w:val="fr-FR" w:eastAsia="fr-FR"/>
        </w:rPr>
      </w:pPr>
    </w:p>
    <w:p w:rsidR="007A3B66" w:rsidRDefault="007A3B66" w:rsidP="007A3B66">
      <w:pPr>
        <w:pStyle w:val="Corpsdetexte"/>
        <w:spacing w:line="276" w:lineRule="auto"/>
        <w:jc w:val="center"/>
        <w:rPr>
          <w:rFonts w:ascii="Arial" w:hAnsi="Arial" w:cs="Arial"/>
          <w:b/>
        </w:rPr>
      </w:pPr>
      <w:r>
        <w:rPr>
          <w:rFonts w:ascii="Arial" w:hAnsi="Arial" w:cs="Arial"/>
          <w:b/>
        </w:rPr>
        <w:t>Le Ministre-Président</w:t>
      </w:r>
    </w:p>
    <w:p w:rsidR="007A3B66" w:rsidRDefault="007A3B66" w:rsidP="007A3B66">
      <w:pPr>
        <w:pStyle w:val="Corpsdetexte"/>
        <w:spacing w:line="276" w:lineRule="auto"/>
        <w:jc w:val="center"/>
        <w:rPr>
          <w:rFonts w:ascii="Arial" w:hAnsi="Arial" w:cs="Arial"/>
          <w:b/>
        </w:rPr>
      </w:pPr>
      <w:r>
        <w:rPr>
          <w:rFonts w:ascii="Arial" w:hAnsi="Arial" w:cs="Arial"/>
          <w:b/>
        </w:rPr>
        <w:t>Rudy DEMOTTE</w:t>
      </w:r>
    </w:p>
    <w:p w:rsidR="007A3B66" w:rsidRDefault="007A3B66" w:rsidP="007A3B66">
      <w:pPr>
        <w:pStyle w:val="Corpsdetexte"/>
        <w:spacing w:line="276" w:lineRule="auto"/>
        <w:jc w:val="center"/>
        <w:rPr>
          <w:rFonts w:ascii="Arial" w:hAnsi="Arial" w:cs="Arial"/>
          <w:b/>
        </w:rPr>
      </w:pPr>
    </w:p>
    <w:p w:rsidR="007A3B66" w:rsidRDefault="007A3B66" w:rsidP="007A3B66">
      <w:pPr>
        <w:spacing w:line="276" w:lineRule="auto"/>
        <w:jc w:val="center"/>
        <w:rPr>
          <w:rFonts w:ascii="Arial" w:hAnsi="Arial" w:cs="Arial"/>
          <w:b/>
        </w:rPr>
      </w:pPr>
      <w:r>
        <w:rPr>
          <w:rFonts w:ascii="Arial" w:hAnsi="Arial" w:cs="Arial"/>
          <w:b/>
        </w:rPr>
        <w:t>La Ministre de l’Education,</w:t>
      </w:r>
    </w:p>
    <w:p w:rsidR="007A3B66" w:rsidRDefault="007A3B66" w:rsidP="007A3B66">
      <w:pPr>
        <w:spacing w:line="276" w:lineRule="auto"/>
        <w:rPr>
          <w:rFonts w:ascii="Arial" w:hAnsi="Arial" w:cs="Arial"/>
          <w:b/>
        </w:rPr>
      </w:pPr>
    </w:p>
    <w:p w:rsidR="00B83D30" w:rsidRDefault="007A3B66" w:rsidP="007A3B66">
      <w:pPr>
        <w:spacing w:line="276" w:lineRule="auto"/>
        <w:rPr>
          <w:rFonts w:ascii="Arial" w:hAnsi="Arial" w:cs="Arial"/>
          <w:sz w:val="22"/>
          <w:szCs w:val="22"/>
        </w:rPr>
      </w:pPr>
      <w:r>
        <w:rPr>
          <w:rFonts w:ascii="Arial" w:hAnsi="Arial" w:cs="Arial"/>
          <w:b/>
        </w:rPr>
        <w:t xml:space="preserve">                                             Marie-Martine SCHYNS</w:t>
      </w:r>
      <w:r>
        <w:rPr>
          <w:rFonts w:ascii="Arial" w:hAnsi="Arial" w:cs="Arial"/>
          <w:sz w:val="22"/>
          <w:szCs w:val="22"/>
        </w:rPr>
        <w:t xml:space="preserve"> </w:t>
      </w:r>
    </w:p>
    <w:p w:rsidR="001A70D2" w:rsidRDefault="001A70D2" w:rsidP="007A3B66">
      <w:pPr>
        <w:spacing w:line="276" w:lineRule="auto"/>
        <w:rPr>
          <w:rFonts w:ascii="Arial" w:hAnsi="Arial" w:cs="Arial"/>
          <w:b/>
          <w:sz w:val="20"/>
          <w:szCs w:val="20"/>
          <w:lang w:eastAsia="fr-FR"/>
        </w:rPr>
      </w:pPr>
    </w:p>
    <w:p w:rsidR="001A70D2" w:rsidRPr="001A70D2" w:rsidRDefault="001A70D2" w:rsidP="007A3B66">
      <w:pPr>
        <w:spacing w:line="276" w:lineRule="auto"/>
        <w:rPr>
          <w:rFonts w:asciiTheme="minorHAnsi" w:hAnsiTheme="minorHAnsi" w:cstheme="minorHAnsi"/>
          <w:sz w:val="22"/>
          <w:szCs w:val="22"/>
          <w:lang w:eastAsia="fr-FR"/>
        </w:rPr>
      </w:pPr>
      <w:bookmarkStart w:id="0" w:name="_GoBack"/>
      <w:r w:rsidRPr="001A70D2">
        <w:rPr>
          <w:rFonts w:asciiTheme="minorHAnsi" w:hAnsiTheme="minorHAnsi" w:cstheme="minorHAnsi"/>
          <w:sz w:val="22"/>
          <w:szCs w:val="22"/>
          <w:lang w:eastAsia="fr-FR"/>
        </w:rPr>
        <w:t>Améliorer significativement les savoirs et compétences des élèves </w:t>
      </w:r>
    </w:p>
    <w:p w:rsidR="001A70D2" w:rsidRPr="001A70D2" w:rsidRDefault="001A70D2" w:rsidP="007A3B66">
      <w:pPr>
        <w:spacing w:line="276" w:lineRule="auto"/>
        <w:rPr>
          <w:rFonts w:asciiTheme="minorHAnsi" w:hAnsiTheme="minorHAnsi" w:cstheme="minorHAnsi"/>
          <w:sz w:val="22"/>
          <w:szCs w:val="22"/>
          <w:lang w:eastAsia="fr-FR"/>
        </w:rPr>
      </w:pPr>
    </w:p>
    <w:p w:rsidR="001A70D2" w:rsidRPr="001A70D2" w:rsidRDefault="001A70D2" w:rsidP="007A3B66">
      <w:pPr>
        <w:spacing w:line="276" w:lineRule="auto"/>
        <w:rPr>
          <w:rFonts w:asciiTheme="minorHAnsi" w:hAnsiTheme="minorHAnsi" w:cstheme="minorHAnsi"/>
          <w:sz w:val="22"/>
          <w:szCs w:val="22"/>
        </w:rPr>
      </w:pPr>
      <w:r w:rsidRPr="001A70D2">
        <w:rPr>
          <w:rFonts w:asciiTheme="minorHAnsi" w:hAnsiTheme="minorHAnsi" w:cstheme="minorHAnsi"/>
          <w:sz w:val="22"/>
          <w:szCs w:val="22"/>
          <w:lang w:eastAsia="fr-FR"/>
        </w:rPr>
        <w:t>Augmenter la part des jeunes diplômés de l’enseignement secondaire supérieur </w:t>
      </w:r>
    </w:p>
    <w:p w:rsidR="001A70D2" w:rsidRPr="001A70D2" w:rsidRDefault="001A70D2" w:rsidP="007A3B66">
      <w:pPr>
        <w:spacing w:line="276" w:lineRule="auto"/>
        <w:rPr>
          <w:rFonts w:asciiTheme="minorHAnsi" w:hAnsiTheme="minorHAnsi" w:cstheme="minorHAnsi"/>
          <w:sz w:val="22"/>
          <w:szCs w:val="22"/>
          <w:lang w:eastAsia="fr-FR"/>
        </w:rPr>
      </w:pPr>
    </w:p>
    <w:p w:rsidR="001A70D2" w:rsidRPr="001A70D2" w:rsidRDefault="001A70D2" w:rsidP="007A3B66">
      <w:pPr>
        <w:spacing w:line="276" w:lineRule="auto"/>
        <w:rPr>
          <w:rFonts w:asciiTheme="minorHAnsi" w:hAnsiTheme="minorHAnsi" w:cstheme="minorHAnsi"/>
          <w:sz w:val="22"/>
          <w:szCs w:val="22"/>
        </w:rPr>
      </w:pPr>
      <w:r w:rsidRPr="001A70D2">
        <w:rPr>
          <w:rFonts w:asciiTheme="minorHAnsi" w:hAnsiTheme="minorHAnsi" w:cstheme="minorHAnsi"/>
          <w:sz w:val="22"/>
          <w:szCs w:val="22"/>
          <w:lang w:eastAsia="fr-FR"/>
        </w:rPr>
        <w:t>Réduire les différences entre les résultats des élèves les plus favorisés et des élèves les moins favorisés d’un point de vue socio-économique </w:t>
      </w:r>
    </w:p>
    <w:p w:rsidR="001A70D2" w:rsidRPr="001A70D2" w:rsidRDefault="001A70D2" w:rsidP="007A3B66">
      <w:pPr>
        <w:spacing w:line="276" w:lineRule="auto"/>
        <w:rPr>
          <w:rFonts w:asciiTheme="minorHAnsi" w:hAnsiTheme="minorHAnsi" w:cstheme="minorHAnsi"/>
          <w:sz w:val="22"/>
          <w:szCs w:val="22"/>
        </w:rPr>
      </w:pPr>
    </w:p>
    <w:p w:rsidR="001A70D2" w:rsidRPr="001A70D2" w:rsidRDefault="001A70D2" w:rsidP="007A3B66">
      <w:pPr>
        <w:spacing w:line="276" w:lineRule="auto"/>
        <w:rPr>
          <w:rFonts w:asciiTheme="minorHAnsi" w:hAnsiTheme="minorHAnsi" w:cstheme="minorHAnsi"/>
          <w:sz w:val="22"/>
          <w:szCs w:val="22"/>
          <w:lang w:eastAsia="fr-FR"/>
        </w:rPr>
      </w:pPr>
      <w:r w:rsidRPr="001A70D2">
        <w:rPr>
          <w:rFonts w:asciiTheme="minorHAnsi" w:hAnsiTheme="minorHAnsi" w:cstheme="minorHAnsi"/>
          <w:sz w:val="22"/>
          <w:szCs w:val="22"/>
          <w:lang w:eastAsia="fr-FR"/>
        </w:rPr>
        <w:t>Réduire progressivement le redoublement et le décrochage </w:t>
      </w:r>
    </w:p>
    <w:p w:rsidR="001A70D2" w:rsidRPr="001A70D2" w:rsidRDefault="001A70D2" w:rsidP="007A3B66">
      <w:pPr>
        <w:spacing w:line="276" w:lineRule="auto"/>
        <w:rPr>
          <w:rFonts w:asciiTheme="minorHAnsi" w:hAnsiTheme="minorHAnsi" w:cstheme="minorHAnsi"/>
          <w:sz w:val="22"/>
          <w:szCs w:val="22"/>
          <w:lang w:eastAsia="fr-FR"/>
        </w:rPr>
      </w:pPr>
    </w:p>
    <w:p w:rsidR="001A70D2" w:rsidRPr="001A70D2" w:rsidRDefault="001A70D2" w:rsidP="007A3B66">
      <w:pPr>
        <w:spacing w:line="276" w:lineRule="auto"/>
        <w:rPr>
          <w:rFonts w:asciiTheme="minorHAnsi" w:hAnsiTheme="minorHAnsi" w:cstheme="minorHAnsi"/>
          <w:sz w:val="22"/>
          <w:szCs w:val="22"/>
          <w:lang w:eastAsia="fr-FR"/>
        </w:rPr>
      </w:pPr>
      <w:r w:rsidRPr="001A70D2">
        <w:rPr>
          <w:rFonts w:asciiTheme="minorHAnsi" w:hAnsiTheme="minorHAnsi" w:cstheme="minorHAnsi"/>
          <w:sz w:val="22"/>
          <w:szCs w:val="22"/>
          <w:lang w:eastAsia="fr-FR"/>
        </w:rPr>
        <w:t>Réduire les changements d’école au sein du tronc commun </w:t>
      </w:r>
    </w:p>
    <w:p w:rsidR="001A70D2" w:rsidRPr="001A70D2" w:rsidRDefault="001A70D2" w:rsidP="007A3B66">
      <w:pPr>
        <w:spacing w:line="276" w:lineRule="auto"/>
        <w:rPr>
          <w:rFonts w:asciiTheme="minorHAnsi" w:hAnsiTheme="minorHAnsi" w:cstheme="minorHAnsi"/>
          <w:sz w:val="22"/>
          <w:szCs w:val="22"/>
          <w:lang w:eastAsia="fr-FR"/>
        </w:rPr>
      </w:pPr>
    </w:p>
    <w:p w:rsidR="001A70D2" w:rsidRPr="001A70D2" w:rsidRDefault="001A70D2" w:rsidP="007A3B66">
      <w:pPr>
        <w:spacing w:line="276" w:lineRule="auto"/>
        <w:rPr>
          <w:rFonts w:asciiTheme="minorHAnsi" w:hAnsiTheme="minorHAnsi" w:cstheme="minorHAnsi"/>
          <w:sz w:val="22"/>
          <w:szCs w:val="22"/>
          <w:lang w:eastAsia="fr-FR"/>
        </w:rPr>
      </w:pPr>
      <w:r w:rsidRPr="001A70D2">
        <w:rPr>
          <w:rFonts w:asciiTheme="minorHAnsi" w:hAnsiTheme="minorHAnsi" w:cstheme="minorHAnsi"/>
          <w:sz w:val="22"/>
          <w:szCs w:val="22"/>
          <w:lang w:eastAsia="fr-FR"/>
        </w:rPr>
        <w:t>Augmenter progressivement l’inclusion des élèves à besoins spécifiques dans l’enseignement</w:t>
      </w:r>
    </w:p>
    <w:p w:rsidR="001A70D2" w:rsidRPr="001A70D2" w:rsidRDefault="001A70D2" w:rsidP="007A3B66">
      <w:pPr>
        <w:spacing w:line="276" w:lineRule="auto"/>
        <w:rPr>
          <w:rFonts w:asciiTheme="minorHAnsi" w:hAnsiTheme="minorHAnsi" w:cstheme="minorHAnsi"/>
          <w:sz w:val="22"/>
          <w:szCs w:val="22"/>
          <w:lang w:eastAsia="fr-FR"/>
        </w:rPr>
      </w:pPr>
    </w:p>
    <w:p w:rsidR="001A70D2" w:rsidRPr="001A70D2" w:rsidRDefault="001A70D2" w:rsidP="001A70D2">
      <w:pPr>
        <w:rPr>
          <w:rFonts w:asciiTheme="minorHAnsi" w:hAnsiTheme="minorHAnsi" w:cstheme="minorHAnsi"/>
          <w:sz w:val="22"/>
          <w:szCs w:val="22"/>
          <w:lang w:eastAsia="fr-FR"/>
        </w:rPr>
      </w:pPr>
      <w:r w:rsidRPr="001A70D2">
        <w:rPr>
          <w:rFonts w:asciiTheme="minorHAnsi" w:hAnsiTheme="minorHAnsi" w:cstheme="minorHAnsi"/>
          <w:sz w:val="22"/>
          <w:szCs w:val="22"/>
          <w:lang w:eastAsia="fr-FR"/>
        </w:rPr>
        <w:t xml:space="preserve">Accroître les indices du bien-être à l’école et du climat scolaire </w:t>
      </w:r>
    </w:p>
    <w:bookmarkEnd w:id="0"/>
    <w:p w:rsidR="001A70D2" w:rsidRDefault="001A70D2" w:rsidP="007A3B66">
      <w:pPr>
        <w:spacing w:line="276" w:lineRule="auto"/>
        <w:rPr>
          <w:rFonts w:ascii="Arial" w:hAnsi="Arial" w:cs="Arial"/>
          <w:sz w:val="22"/>
          <w:szCs w:val="22"/>
        </w:rPr>
      </w:pPr>
    </w:p>
    <w:sectPr w:rsidR="001A70D2">
      <w:footerReference w:type="even" r:id="rId7"/>
      <w:footerReference w:type="default" r:id="rId8"/>
      <w:pgSz w:w="11906" w:h="16838"/>
      <w:pgMar w:top="899"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BBD" w:rsidRDefault="00F10BBD" w:rsidP="007A3B66">
      <w:r>
        <w:separator/>
      </w:r>
    </w:p>
  </w:endnote>
  <w:endnote w:type="continuationSeparator" w:id="0">
    <w:p w:rsidR="00F10BBD" w:rsidRDefault="00F10BBD" w:rsidP="007A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9F" w:rsidRDefault="00F10B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14B9F" w:rsidRDefault="00F10BB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9F" w:rsidRDefault="00F10BBD">
    <w:pPr>
      <w:pStyle w:val="Pieddepage"/>
      <w:framePr w:wrap="around" w:vAnchor="text" w:hAnchor="margin" w:xAlign="right" w:y="1"/>
      <w:rPr>
        <w:rStyle w:val="Numrodepage"/>
        <w:rFonts w:ascii="Arial" w:hAnsi="Arial" w:cs="Arial"/>
        <w:sz w:val="22"/>
        <w:szCs w:val="22"/>
      </w:rPr>
    </w:pPr>
    <w:r>
      <w:rPr>
        <w:rStyle w:val="Numrodepage"/>
        <w:rFonts w:ascii="Arial" w:hAnsi="Arial" w:cs="Arial"/>
        <w:sz w:val="22"/>
        <w:szCs w:val="22"/>
      </w:rPr>
      <w:fldChar w:fldCharType="begin"/>
    </w:r>
    <w:r>
      <w:rPr>
        <w:rStyle w:val="Numrodepage"/>
        <w:rFonts w:ascii="Arial" w:hAnsi="Arial" w:cs="Arial"/>
        <w:sz w:val="22"/>
        <w:szCs w:val="22"/>
      </w:rPr>
      <w:instrText xml:space="preserve">PAGE  </w:instrText>
    </w:r>
    <w:r>
      <w:rPr>
        <w:rStyle w:val="Numrodepage"/>
        <w:rFonts w:ascii="Arial" w:hAnsi="Arial" w:cs="Arial"/>
        <w:sz w:val="22"/>
        <w:szCs w:val="22"/>
      </w:rPr>
      <w:fldChar w:fldCharType="separate"/>
    </w:r>
    <w:r>
      <w:rPr>
        <w:rStyle w:val="Numrodepage"/>
        <w:rFonts w:ascii="Arial" w:hAnsi="Arial" w:cs="Arial"/>
        <w:noProof/>
        <w:sz w:val="22"/>
        <w:szCs w:val="22"/>
      </w:rPr>
      <w:t>1</w:t>
    </w:r>
    <w:r>
      <w:rPr>
        <w:rStyle w:val="Numrodepage"/>
        <w:rFonts w:ascii="Arial" w:hAnsi="Arial" w:cs="Arial"/>
        <w:sz w:val="22"/>
        <w:szCs w:val="22"/>
      </w:rPr>
      <w:fldChar w:fldCharType="end"/>
    </w:r>
  </w:p>
  <w:p w:rsidR="00514B9F" w:rsidRDefault="00F10BB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BBD" w:rsidRDefault="00F10BBD" w:rsidP="007A3B66">
      <w:r>
        <w:separator/>
      </w:r>
    </w:p>
  </w:footnote>
  <w:footnote w:type="continuationSeparator" w:id="0">
    <w:p w:rsidR="00F10BBD" w:rsidRDefault="00F10BBD" w:rsidP="007A3B66">
      <w:r>
        <w:continuationSeparator/>
      </w:r>
    </w:p>
  </w:footnote>
  <w:footnote w:id="1">
    <w:p w:rsidR="007A3B66" w:rsidRDefault="007A3B66" w:rsidP="007A3B66">
      <w:pPr>
        <w:pStyle w:val="Notedebasdepage"/>
        <w:jc w:val="both"/>
        <w:rPr>
          <w:highlight w:val="yellow"/>
        </w:rPr>
      </w:pPr>
      <w:r>
        <w:rPr>
          <w:rStyle w:val="Appelnotedebasdep"/>
        </w:rPr>
        <w:footnoteRef/>
      </w:r>
      <w:r>
        <w:t xml:space="preserve"> Est considéré comme « ayant décroché » l’élève qui quitte l’enseignement secondaire ordinaire de plein exercice entre deux années scolaires. Il s’agit, plus précisément, des jeunes qui ne sont plus inscrits dans un établissement organisé ou subventionné par la Fédération Wallonie-Bruxelles l’année scolaire suivante.</w:t>
      </w:r>
    </w:p>
  </w:footnote>
  <w:footnote w:id="2">
    <w:p w:rsidR="007A3B66" w:rsidRDefault="007A3B66" w:rsidP="007A3B66">
      <w:pPr>
        <w:pStyle w:val="Notedebasdepage"/>
        <w:jc w:val="both"/>
      </w:pPr>
      <w:r>
        <w:rPr>
          <w:rStyle w:val="Appelnotedebasdep"/>
        </w:rPr>
        <w:footnoteRef/>
      </w:r>
      <w:r>
        <w:t xml:space="preserve"> Est considéré comme « changeant d’établissement » un élève qui est inscrit au 15 janvier dans un établissement et qui, au 15 janvier de l’année suivante, est inscrit dans un autre établissement.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E64E3"/>
    <w:multiLevelType w:val="multilevel"/>
    <w:tmpl w:val="8B32898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66"/>
    <w:rsid w:val="001A70D2"/>
    <w:rsid w:val="007A3B66"/>
    <w:rsid w:val="00B83D30"/>
    <w:rsid w:val="00F10B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79F34-6C71-4FB3-9A07-E059C0B7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66"/>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A3B66"/>
    <w:pPr>
      <w:spacing w:after="120"/>
    </w:pPr>
  </w:style>
  <w:style w:type="character" w:customStyle="1" w:styleId="CorpsdetexteCar">
    <w:name w:val="Corps de texte Car"/>
    <w:basedOn w:val="Policepardfaut"/>
    <w:link w:val="Corpsdetexte"/>
    <w:rsid w:val="007A3B66"/>
    <w:rPr>
      <w:rFonts w:ascii="Times New Roman" w:eastAsia="Times New Roman" w:hAnsi="Times New Roman" w:cs="Times New Roman"/>
      <w:sz w:val="24"/>
      <w:szCs w:val="24"/>
      <w:lang w:eastAsia="fr-BE"/>
    </w:rPr>
  </w:style>
  <w:style w:type="paragraph" w:styleId="Pieddepage">
    <w:name w:val="footer"/>
    <w:basedOn w:val="Normal"/>
    <w:link w:val="PieddepageCar"/>
    <w:rsid w:val="007A3B66"/>
    <w:pPr>
      <w:tabs>
        <w:tab w:val="center" w:pos="4536"/>
        <w:tab w:val="right" w:pos="9072"/>
      </w:tabs>
    </w:pPr>
  </w:style>
  <w:style w:type="character" w:customStyle="1" w:styleId="PieddepageCar">
    <w:name w:val="Pied de page Car"/>
    <w:basedOn w:val="Policepardfaut"/>
    <w:link w:val="Pieddepage"/>
    <w:rsid w:val="007A3B66"/>
    <w:rPr>
      <w:rFonts w:ascii="Times New Roman" w:eastAsia="Times New Roman" w:hAnsi="Times New Roman" w:cs="Times New Roman"/>
      <w:sz w:val="24"/>
      <w:szCs w:val="24"/>
      <w:lang w:eastAsia="fr-BE"/>
    </w:rPr>
  </w:style>
  <w:style w:type="character" w:styleId="Numrodepage">
    <w:name w:val="page number"/>
    <w:basedOn w:val="Policepardfaut"/>
    <w:rsid w:val="007A3B66"/>
  </w:style>
  <w:style w:type="paragraph" w:styleId="Notedebasdepage">
    <w:name w:val="footnote text"/>
    <w:basedOn w:val="Normal"/>
    <w:link w:val="NotedebasdepageCar"/>
    <w:semiHidden/>
    <w:rsid w:val="007A3B66"/>
    <w:rPr>
      <w:rFonts w:ascii="Times" w:hAnsi="Times"/>
      <w:sz w:val="20"/>
      <w:szCs w:val="20"/>
      <w:lang w:val="fr-FR" w:eastAsia="fr-FR"/>
    </w:rPr>
  </w:style>
  <w:style w:type="character" w:customStyle="1" w:styleId="NotedebasdepageCar">
    <w:name w:val="Note de bas de page Car"/>
    <w:basedOn w:val="Policepardfaut"/>
    <w:link w:val="Notedebasdepage"/>
    <w:semiHidden/>
    <w:rsid w:val="007A3B66"/>
    <w:rPr>
      <w:rFonts w:ascii="Times" w:eastAsia="Times New Roman" w:hAnsi="Times" w:cs="Times New Roman"/>
      <w:sz w:val="20"/>
      <w:szCs w:val="20"/>
      <w:lang w:val="fr-FR" w:eastAsia="fr-FR"/>
    </w:rPr>
  </w:style>
  <w:style w:type="character" w:styleId="Appelnotedebasdep">
    <w:name w:val="footnote reference"/>
    <w:uiPriority w:val="99"/>
    <w:rsid w:val="007A3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1129</Words>
  <Characters>6211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HICTER Anne</dc:creator>
  <cp:keywords/>
  <dc:description/>
  <cp:lastModifiedBy>HICTER Anne</cp:lastModifiedBy>
  <cp:revision>2</cp:revision>
  <dcterms:created xsi:type="dcterms:W3CDTF">2018-11-15T23:35:00Z</dcterms:created>
  <dcterms:modified xsi:type="dcterms:W3CDTF">2018-11-15T23:41:00Z</dcterms:modified>
</cp:coreProperties>
</file>