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jc w:val="right"/>
        <w:rPr>
          <w:rFonts w:ascii="Arial" w:hAnsi="Arial" w:cs="Arial"/>
          <w:color w:val="000000"/>
        </w:rPr>
      </w:pPr>
      <w:r>
        <w:rPr>
          <w:rFonts w:ascii="Arial" w:hAnsi="Arial" w:cs="Arial"/>
          <w:noProof/>
          <w:color w:val="000000"/>
          <w:lang w:val="fr-BE" w:eastAsia="fr-BE"/>
        </w:rPr>
        <w:drawing>
          <wp:anchor distT="0" distB="0" distL="114300" distR="114300" simplePos="0" relativeHeight="251658240" behindDoc="0" locked="0" layoutInCell="1" allowOverlap="1">
            <wp:simplePos x="900545" y="900545"/>
            <wp:positionH relativeFrom="column">
              <wp:align>left</wp:align>
            </wp:positionH>
            <wp:positionV relativeFrom="paragraph">
              <wp:align>top</wp:align>
            </wp:positionV>
            <wp:extent cx="2695575" cy="824230"/>
            <wp:effectExtent l="0" t="0" r="9525" b="0"/>
            <wp:wrapSquare wrapText="bothSides"/>
            <wp:docPr id="1" name="Image 1" descr="Logo_AGE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AGE_coule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824230"/>
                    </a:xfrm>
                    <a:prstGeom prst="rect">
                      <a:avLst/>
                    </a:prstGeom>
                    <a:noFill/>
                    <a:ln>
                      <a:noFill/>
                    </a:ln>
                  </pic:spPr>
                </pic:pic>
              </a:graphicData>
            </a:graphic>
          </wp:anchor>
        </w:drawing>
      </w:r>
      <w:r>
        <w:rPr>
          <w:rFonts w:ascii="Arial" w:hAnsi="Arial" w:cs="Arial"/>
          <w:color w:val="000000"/>
        </w:rPr>
        <w:t>29/06/2021</w:t>
      </w:r>
      <w:r>
        <w:rPr>
          <w:rFonts w:ascii="Arial" w:hAnsi="Arial" w:cs="Arial"/>
          <w:color w:val="000000"/>
        </w:rPr>
        <w:br w:type="textWrapping" w:clear="all"/>
      </w:r>
    </w:p>
    <w:p>
      <w:pPr>
        <w:autoSpaceDE w:val="0"/>
        <w:autoSpaceDN w:val="0"/>
        <w:adjustRightInd w:val="0"/>
        <w:rPr>
          <w:rFonts w:ascii="Arial" w:hAnsi="Arial" w:cs="Arial"/>
          <w:b/>
          <w:bCs/>
          <w:color w:val="000000"/>
        </w:rPr>
      </w:pPr>
    </w:p>
    <w:p>
      <w:pPr>
        <w:autoSpaceDE w:val="0"/>
        <w:autoSpaceDN w:val="0"/>
        <w:adjustRightInd w:val="0"/>
        <w:rPr>
          <w:rFonts w:ascii="Arial" w:hAnsi="Arial" w:cs="Arial"/>
          <w:b/>
          <w:bCs/>
          <w:color w:val="000000"/>
          <w:u w:val="single"/>
        </w:rPr>
      </w:pPr>
    </w:p>
    <w:p>
      <w:pPr>
        <w:jc w:val="center"/>
        <w:rPr>
          <w:rFonts w:ascii="Arial" w:hAnsi="Arial" w:cs="Arial"/>
          <w:b/>
          <w:lang w:val="fr-BE"/>
        </w:rPr>
      </w:pPr>
    </w:p>
    <w:p>
      <w:pPr>
        <w:jc w:val="center"/>
        <w:rPr>
          <w:rFonts w:ascii="Arial" w:hAnsi="Arial" w:cs="Arial"/>
          <w:b/>
          <w:lang w:val="fr-BE"/>
        </w:rPr>
      </w:pPr>
      <w:r>
        <w:rPr>
          <w:rFonts w:ascii="Arial" w:hAnsi="Arial" w:cs="Arial"/>
          <w:b/>
          <w:lang w:val="fr-BE"/>
        </w:rPr>
        <w:t>COMMUNIQUÉ</w:t>
      </w:r>
    </w:p>
    <w:p>
      <w:pPr>
        <w:jc w:val="center"/>
        <w:rPr>
          <w:rFonts w:ascii="Arial" w:hAnsi="Arial" w:cs="Arial"/>
          <w:b/>
          <w:lang w:val="fr-BE"/>
        </w:rPr>
      </w:pPr>
    </w:p>
    <w:p>
      <w:pPr>
        <w:jc w:val="center"/>
        <w:rPr>
          <w:rFonts w:ascii="Arial" w:hAnsi="Arial" w:cs="Arial"/>
          <w:b/>
          <w:lang w:val="fr-BE"/>
        </w:rPr>
      </w:pPr>
      <w:r>
        <w:rPr>
          <w:rFonts w:ascii="Arial" w:hAnsi="Arial" w:cs="Arial"/>
          <w:b/>
          <w:lang w:val="fr-BE"/>
        </w:rPr>
        <w:t xml:space="preserve">RÉSULTATS </w:t>
      </w:r>
      <w:r>
        <w:rPr>
          <w:rFonts w:ascii="Arial" w:hAnsi="Arial" w:cs="Arial"/>
          <w:b/>
          <w:bCs/>
        </w:rPr>
        <w:t xml:space="preserve">ÉPREUVE EXTERNE COMMUNE POUR L’OBTENTION DU </w:t>
      </w:r>
      <w:r>
        <w:rPr>
          <w:rFonts w:ascii="Arial" w:hAnsi="Arial" w:cs="Arial"/>
          <w:b/>
          <w:lang w:val="fr-BE"/>
        </w:rPr>
        <w:t>CEB 2021 – 6</w:t>
      </w:r>
      <w:r>
        <w:rPr>
          <w:rFonts w:ascii="Arial" w:hAnsi="Arial" w:cs="Arial"/>
          <w:b/>
          <w:vertAlign w:val="superscript"/>
          <w:lang w:val="fr-BE"/>
        </w:rPr>
        <w:t>e</w:t>
      </w:r>
      <w:r>
        <w:rPr>
          <w:rFonts w:ascii="Arial" w:hAnsi="Arial" w:cs="Arial"/>
          <w:b/>
          <w:lang w:val="fr-BE"/>
        </w:rPr>
        <w:t xml:space="preserve"> primaire</w:t>
      </w:r>
    </w:p>
    <w:p>
      <w:pPr>
        <w:jc w:val="center"/>
        <w:rPr>
          <w:rFonts w:ascii="Arial" w:hAnsi="Arial" w:cs="Arial"/>
          <w:b/>
          <w:lang w:val="fr-BE"/>
        </w:rPr>
      </w:pPr>
    </w:p>
    <w:p>
      <w:pPr>
        <w:jc w:val="center"/>
        <w:rPr>
          <w:rFonts w:ascii="Arial" w:hAnsi="Arial" w:cs="Arial"/>
          <w:b/>
          <w:lang w:val="fr-BE"/>
        </w:rPr>
      </w:pPr>
    </w:p>
    <w:p>
      <w:pPr>
        <w:pStyle w:val="NormalWeb"/>
        <w:spacing w:before="0" w:beforeAutospacing="0" w:after="0" w:afterAutospacing="0"/>
        <w:jc w:val="both"/>
        <w:rPr>
          <w:rFonts w:ascii="Arial" w:hAnsi="Arial" w:cs="Arial"/>
          <w:b/>
          <w:u w:val="single"/>
        </w:rPr>
      </w:pPr>
      <w:r>
        <w:rPr>
          <w:rFonts w:ascii="Arial" w:hAnsi="Arial" w:cs="Arial"/>
          <w:b/>
          <w:u w:val="single"/>
        </w:rPr>
        <w:t>Le certificat d’études de base (CEB) en Fédération Wallonie-Bruxelles</w:t>
      </w:r>
    </w:p>
    <w:p>
      <w:pPr>
        <w:pStyle w:val="NormalWeb"/>
        <w:spacing w:before="0" w:beforeAutospacing="0" w:after="0" w:afterAutospacing="0"/>
        <w:jc w:val="both"/>
        <w:rPr>
          <w:rFonts w:ascii="Arial" w:hAnsi="Arial" w:cs="Arial"/>
          <w:b/>
          <w:u w:val="single"/>
        </w:rPr>
      </w:pPr>
    </w:p>
    <w:p>
      <w:pPr>
        <w:pStyle w:val="NormalWeb"/>
        <w:spacing w:before="0" w:beforeAutospacing="0" w:after="0" w:afterAutospacing="0"/>
        <w:jc w:val="both"/>
        <w:rPr>
          <w:rFonts w:ascii="Arial" w:hAnsi="Arial" w:cs="Arial"/>
        </w:rPr>
      </w:pPr>
      <w:r>
        <w:rPr>
          <w:rFonts w:ascii="Arial" w:hAnsi="Arial" w:cs="Arial"/>
        </w:rPr>
        <w:t xml:space="preserve">Le CEB est le </w:t>
      </w:r>
      <w:r>
        <w:rPr>
          <w:rStyle w:val="lev"/>
          <w:rFonts w:ascii="Arial" w:hAnsi="Arial" w:cs="Arial"/>
          <w:b w:val="0"/>
        </w:rPr>
        <w:t>certificat</w:t>
      </w:r>
      <w:r>
        <w:rPr>
          <w:rFonts w:ascii="Arial" w:hAnsi="Arial" w:cs="Arial"/>
          <w:b/>
          <w:bCs/>
        </w:rPr>
        <w:t xml:space="preserve"> </w:t>
      </w:r>
      <w:r>
        <w:rPr>
          <w:rFonts w:ascii="Arial" w:hAnsi="Arial" w:cs="Arial"/>
        </w:rPr>
        <w:t xml:space="preserve">d’études de base délivré à la fin de l’école primaire. Pour délivrer ce certificat, une épreuve externe commune communément appelée « CEB » est organisée en Fédération Wallonie-Bruxelles pour tous les élèves concernés. </w:t>
      </w:r>
    </w:p>
    <w:p>
      <w:pPr>
        <w:pStyle w:val="NormalWeb"/>
        <w:spacing w:before="0" w:beforeAutospacing="0" w:after="0" w:afterAutospacing="0"/>
        <w:jc w:val="both"/>
        <w:rPr>
          <w:rFonts w:ascii="Arial" w:hAnsi="Arial" w:cs="Arial"/>
          <w:lang w:val="fr-BE"/>
        </w:rPr>
      </w:pPr>
      <w:r>
        <w:rPr>
          <w:rFonts w:ascii="Arial" w:hAnsi="Arial" w:cs="Arial"/>
        </w:rPr>
        <w:t>Il concerne tous les élèves de 6</w:t>
      </w:r>
      <w:r>
        <w:rPr>
          <w:rFonts w:ascii="Arial" w:hAnsi="Arial" w:cs="Arial"/>
          <w:vertAlign w:val="superscript"/>
        </w:rPr>
        <w:t>e</w:t>
      </w:r>
      <w:r>
        <w:rPr>
          <w:rFonts w:ascii="Arial" w:hAnsi="Arial" w:cs="Arial"/>
        </w:rPr>
        <w:t xml:space="preserve"> année primaire, ceux du 1</w:t>
      </w:r>
      <w:r>
        <w:rPr>
          <w:rFonts w:ascii="Arial" w:hAnsi="Arial" w:cs="Arial"/>
          <w:vertAlign w:val="superscript"/>
        </w:rPr>
        <w:t>er</w:t>
      </w:r>
      <w:r>
        <w:rPr>
          <w:rFonts w:ascii="Arial" w:hAnsi="Arial" w:cs="Arial"/>
        </w:rPr>
        <w:t xml:space="preserve"> degré différencié de l’enseignement secondaire et, sur décision de l’école, les élèves de l’enseignement spécialisé. Chaque année, cette épreuve porte sur le français, les mathématiques et l’éveil </w:t>
      </w:r>
      <w:r>
        <w:rPr>
          <w:rFonts w:ascii="Arial" w:hAnsi="Arial" w:cs="Arial"/>
          <w:lang w:val="fr-BE"/>
        </w:rPr>
        <w:t>(histoire-géographie et sciences).</w:t>
      </w:r>
    </w:p>
    <w:p>
      <w:pPr>
        <w:pStyle w:val="NormalWeb"/>
        <w:spacing w:before="0" w:beforeAutospacing="0" w:after="0" w:afterAutospacing="0"/>
        <w:jc w:val="both"/>
        <w:rPr>
          <w:rFonts w:ascii="Arial" w:hAnsi="Arial" w:cs="Arial"/>
        </w:rPr>
      </w:pPr>
    </w:p>
    <w:p>
      <w:pPr>
        <w:pStyle w:val="NormalWeb"/>
        <w:spacing w:before="0" w:beforeAutospacing="0" w:after="0" w:afterAutospacing="0"/>
        <w:jc w:val="both"/>
        <w:rPr>
          <w:rFonts w:ascii="Arial" w:hAnsi="Arial" w:cs="Arial"/>
        </w:rPr>
      </w:pPr>
      <w:r>
        <w:rPr>
          <w:rFonts w:ascii="Arial" w:hAnsi="Arial" w:cs="Arial"/>
        </w:rPr>
        <w:t xml:space="preserve">Pour rappel : les consignes de passation, les questions et les critères de correction du CEB sont identiques pour tous les étudiants qui présentent l’épreuve et la passation s’effectue de manière simultanée dans toutes les écoles en Fédération Wallonie-Bruxelles. </w:t>
      </w:r>
    </w:p>
    <w:p>
      <w:pPr>
        <w:pStyle w:val="NormalWeb"/>
        <w:spacing w:before="0" w:beforeAutospacing="0" w:after="0" w:afterAutospacing="0"/>
        <w:jc w:val="both"/>
        <w:rPr>
          <w:rFonts w:ascii="Arial" w:hAnsi="Arial" w:cs="Arial"/>
        </w:rPr>
      </w:pPr>
    </w:p>
    <w:p>
      <w:pPr>
        <w:jc w:val="both"/>
        <w:rPr>
          <w:rFonts w:ascii="Arial" w:hAnsi="Arial" w:cs="Arial"/>
          <w:iCs/>
        </w:rPr>
      </w:pPr>
      <w:r>
        <w:rPr>
          <w:rFonts w:ascii="Arial" w:eastAsia="MS Mincho" w:hAnsi="Arial" w:cs="Arial"/>
          <w:b/>
          <w:lang w:eastAsia="ja-JP"/>
        </w:rPr>
        <w:t xml:space="preserve">Le CEB a pour objectif essentiel </w:t>
      </w:r>
      <w:r>
        <w:rPr>
          <w:rFonts w:ascii="Arial" w:hAnsi="Arial" w:cs="Arial"/>
          <w:b/>
        </w:rPr>
        <w:t>d’évaluer équitablement et de certifier les élèves sur la base d’un même examen et d’attester,</w:t>
      </w:r>
      <w:r>
        <w:rPr>
          <w:rFonts w:ascii="Arial" w:hAnsi="Arial" w:cs="Arial"/>
        </w:rPr>
        <w:t xml:space="preserve"> </w:t>
      </w:r>
      <w:r>
        <w:rPr>
          <w:rFonts w:ascii="Arial" w:eastAsia="MS Mincho" w:hAnsi="Arial" w:cs="Arial"/>
          <w:b/>
          <w:lang w:eastAsia="ja-JP"/>
        </w:rPr>
        <w:t xml:space="preserve">à l’échelle de la Fédération Wallonie-Bruxelles, que les élèves ont atteint la maitrise des compétences attendues à la fin des six années d’études primaires. </w:t>
      </w:r>
      <w:r>
        <w:rPr>
          <w:rFonts w:ascii="Arial" w:hAnsi="Arial" w:cs="Arial"/>
          <w:iCs/>
        </w:rPr>
        <w:t>Cette épreuve permet également – mais ce n’est pas là son objectif premier – de recueillir des informations quant au niveau de maitrise atteint par les élèves par une analyse plus fine des réponses et des résultats.</w:t>
      </w:r>
    </w:p>
    <w:p>
      <w:pPr>
        <w:jc w:val="both"/>
        <w:rPr>
          <w:rFonts w:ascii="Arial" w:eastAsia="MS Mincho" w:hAnsi="Arial" w:cs="Arial"/>
          <w:b/>
          <w:lang w:eastAsia="ja-JP"/>
        </w:rPr>
      </w:pPr>
    </w:p>
    <w:p>
      <w:pPr>
        <w:jc w:val="both"/>
        <w:rPr>
          <w:rFonts w:ascii="Arial" w:eastAsia="MS Mincho" w:hAnsi="Arial" w:cs="Arial"/>
          <w:b/>
          <w:lang w:eastAsia="ja-JP"/>
        </w:rPr>
      </w:pPr>
      <w:r>
        <w:rPr>
          <w:rFonts w:ascii="Arial" w:eastAsia="MS Mincho" w:hAnsi="Arial" w:cs="Arial"/>
          <w:b/>
          <w:lang w:eastAsia="ja-JP"/>
        </w:rPr>
        <w:t>Le CEB n’a pas pour objectif d’effectuer des pronostics sur les résultats futurs de l’élève et donc n’a pas pour fonction de garantir une réussite au 1</w:t>
      </w:r>
      <w:r>
        <w:rPr>
          <w:rFonts w:ascii="Arial" w:eastAsia="MS Mincho" w:hAnsi="Arial" w:cs="Arial"/>
          <w:b/>
          <w:vertAlign w:val="superscript"/>
          <w:lang w:eastAsia="ja-JP"/>
        </w:rPr>
        <w:t>er</w:t>
      </w:r>
      <w:r>
        <w:rPr>
          <w:rFonts w:ascii="Arial" w:eastAsia="MS Mincho" w:hAnsi="Arial" w:cs="Arial"/>
          <w:b/>
          <w:lang w:eastAsia="ja-JP"/>
        </w:rPr>
        <w:t xml:space="preserve"> degré secondaire. Il ne constitue pas plus une mesure de la mise en œuvre des programmes par les équipes éducatives. </w:t>
      </w:r>
      <w:r>
        <w:rPr>
          <w:rFonts w:ascii="Arial" w:eastAsia="MS Mincho" w:hAnsi="Arial" w:cs="Arial"/>
          <w:lang w:eastAsia="ja-JP"/>
        </w:rPr>
        <w:t>Enfin, il ne sert pas à effectuer un</w:t>
      </w:r>
      <w:r>
        <w:rPr>
          <w:rFonts w:ascii="Arial" w:eastAsia="MS Mincho" w:hAnsi="Arial" w:cs="Arial"/>
          <w:b/>
          <w:lang w:eastAsia="ja-JP"/>
        </w:rPr>
        <w:t xml:space="preserve"> </w:t>
      </w:r>
      <w:r>
        <w:rPr>
          <w:rFonts w:ascii="Arial" w:hAnsi="Arial" w:cs="Arial"/>
          <w:color w:val="0A0A0A"/>
          <w:spacing w:val="2"/>
          <w:shd w:val="clear" w:color="auto" w:fill="FFFFFF"/>
        </w:rPr>
        <w:t>classement des établissements et des élèves ; le détail des résultats obtenus par chaque école n’est d’ailleurs pas rendu public.</w:t>
      </w:r>
    </w:p>
    <w:p>
      <w:pPr>
        <w:rPr>
          <w:rFonts w:ascii="Arial" w:hAnsi="Arial" w:cs="Arial"/>
        </w:rPr>
      </w:pPr>
    </w:p>
    <w:p>
      <w:pPr>
        <w:jc w:val="both"/>
        <w:rPr>
          <w:rFonts w:ascii="Arial" w:hAnsi="Arial" w:cs="Arial"/>
        </w:rPr>
      </w:pPr>
      <w:r>
        <w:rPr>
          <w:rFonts w:ascii="Arial" w:eastAsia="MS Mincho" w:hAnsi="Arial" w:cs="Arial"/>
          <w:lang w:eastAsia="ja-JP"/>
        </w:rPr>
        <w:t>Conformément au décret du 2 juin 2006, le CEB est conçu par des groupes de travail constitués d’instituteurs de 5</w:t>
      </w:r>
      <w:r>
        <w:rPr>
          <w:rFonts w:ascii="Arial" w:eastAsia="MS Mincho" w:hAnsi="Arial" w:cs="Arial"/>
          <w:vertAlign w:val="superscript"/>
          <w:lang w:eastAsia="ja-JP"/>
        </w:rPr>
        <w:t>e</w:t>
      </w:r>
      <w:r>
        <w:rPr>
          <w:rFonts w:ascii="Arial" w:eastAsia="MS Mincho" w:hAnsi="Arial" w:cs="Arial"/>
          <w:lang w:eastAsia="ja-JP"/>
        </w:rPr>
        <w:t xml:space="preserve"> ou 6</w:t>
      </w:r>
      <w:r>
        <w:rPr>
          <w:rFonts w:ascii="Arial" w:eastAsia="MS Mincho" w:hAnsi="Arial" w:cs="Arial"/>
          <w:vertAlign w:val="superscript"/>
          <w:lang w:eastAsia="ja-JP"/>
        </w:rPr>
        <w:t>e</w:t>
      </w:r>
      <w:r>
        <w:rPr>
          <w:rFonts w:ascii="Arial" w:eastAsia="MS Mincho" w:hAnsi="Arial" w:cs="Arial"/>
          <w:lang w:eastAsia="ja-JP"/>
        </w:rPr>
        <w:t xml:space="preserve"> primaire, de conseillers pédagogiques de nos différents réseaux d’enseignement ainsi que d’inspecteurs (un tiers pour chacun de ces groupes). Chaque groupe de travail se réfère à ce qui est défini dans les socles de compétences à atteindre au terme de la 6</w:t>
      </w:r>
      <w:r>
        <w:rPr>
          <w:rFonts w:ascii="Arial" w:eastAsia="MS Mincho" w:hAnsi="Arial" w:cs="Arial"/>
          <w:vertAlign w:val="superscript"/>
          <w:lang w:eastAsia="ja-JP"/>
        </w:rPr>
        <w:t>e</w:t>
      </w:r>
      <w:r>
        <w:rPr>
          <w:rFonts w:ascii="Arial" w:eastAsia="MS Mincho" w:hAnsi="Arial" w:cs="Arial"/>
          <w:lang w:eastAsia="ja-JP"/>
        </w:rPr>
        <w:t xml:space="preserve"> primaire. Les groupes de travail veillent également à présenter une palette de questions diversifiées, de façon à envisager </w:t>
      </w:r>
      <w:r>
        <w:rPr>
          <w:rFonts w:ascii="Arial" w:eastAsia="MS Mincho" w:hAnsi="Arial" w:cs="Arial"/>
          <w:lang w:eastAsia="ja-JP"/>
        </w:rPr>
        <w:lastRenderedPageBreak/>
        <w:t>l’ensemble des domaines et des compétences déterminées dans les socles. Ainsi, aucun domaine n’est privilégié, ni négligé.</w:t>
      </w:r>
    </w:p>
    <w:p>
      <w:pPr>
        <w:jc w:val="both"/>
        <w:rPr>
          <w:rFonts w:ascii="Arial" w:eastAsia="MS Mincho" w:hAnsi="Arial" w:cs="Arial"/>
          <w:lang w:eastAsia="ja-JP"/>
        </w:rPr>
      </w:pPr>
      <w:r>
        <w:rPr>
          <w:rFonts w:ascii="Arial" w:eastAsia="MS Mincho" w:hAnsi="Arial" w:cs="Arial"/>
          <w:lang w:eastAsia="ja-JP"/>
        </w:rPr>
        <w:t xml:space="preserve">Les épreuves sont testées préalablement auprès de groupes d’élèves de différents établissements </w:t>
      </w:r>
      <w:r>
        <w:rPr>
          <w:rFonts w:ascii="Arial" w:hAnsi="Arial" w:cs="Arial"/>
          <w:lang w:eastAsia="ja-JP"/>
        </w:rPr>
        <w:t>de la Fédération Wallonie-Bruxelles afin d’en garantir la qualité.</w:t>
      </w:r>
    </w:p>
    <w:p>
      <w:pPr>
        <w:jc w:val="both"/>
        <w:rPr>
          <w:rFonts w:ascii="Arial" w:eastAsia="MS Mincho" w:hAnsi="Arial" w:cs="Arial"/>
          <w:lang w:eastAsia="ja-JP"/>
        </w:rPr>
      </w:pPr>
    </w:p>
    <w:p>
      <w:pPr>
        <w:jc w:val="both"/>
        <w:rPr>
          <w:rFonts w:ascii="Arial" w:eastAsia="MS Mincho" w:hAnsi="Arial" w:cs="Arial"/>
          <w:lang w:eastAsia="ja-JP"/>
        </w:rPr>
      </w:pPr>
      <w:r>
        <w:rPr>
          <w:rFonts w:ascii="Arial" w:eastAsia="MS Mincho" w:hAnsi="Arial" w:cs="Arial"/>
          <w:lang w:eastAsia="ja-JP"/>
        </w:rPr>
        <w:t>Plusieurs actions visant à éviter que la situation découlant de la crise sanitaire ne pénalise davantage les élèves ont été menées :</w:t>
      </w:r>
    </w:p>
    <w:p>
      <w:pPr>
        <w:numPr>
          <w:ilvl w:val="0"/>
          <w:numId w:val="5"/>
        </w:numPr>
        <w:jc w:val="both"/>
        <w:rPr>
          <w:rFonts w:ascii="Arial" w:eastAsia="MS Mincho" w:hAnsi="Arial" w:cs="Arial"/>
          <w:lang w:eastAsia="ja-JP"/>
        </w:rPr>
      </w:pPr>
      <w:r>
        <w:rPr>
          <w:rFonts w:ascii="Arial" w:eastAsia="MS Mincho" w:hAnsi="Arial" w:cs="Arial"/>
          <w:lang w:eastAsia="ja-JP"/>
        </w:rPr>
        <w:t xml:space="preserve">D’abord, le Service général de l’Inspection a travaillé, en collaboration avec la Direction des Standards éducatifs et des Évaluations, à identifier les essentiels parmi les savoirs, savoir-faire et compétences définis dans les référentiels actuellement en vigueur. Ce travail a été effectué en veillant à la cohérence des essentiels sélectionnés avec les épreuves externes certificatives. Ce document a été communiqué aux écoles en début d’année scolaire. </w:t>
      </w:r>
    </w:p>
    <w:p>
      <w:pPr>
        <w:numPr>
          <w:ilvl w:val="0"/>
          <w:numId w:val="5"/>
        </w:numPr>
        <w:jc w:val="both"/>
        <w:rPr>
          <w:rFonts w:ascii="Arial" w:eastAsia="MS Mincho" w:hAnsi="Arial" w:cs="Arial"/>
          <w:lang w:eastAsia="ja-JP"/>
        </w:rPr>
      </w:pPr>
      <w:r>
        <w:rPr>
          <w:rFonts w:ascii="Arial" w:eastAsia="MS Mincho" w:hAnsi="Arial" w:cs="Arial"/>
          <w:lang w:eastAsia="ja-JP"/>
        </w:rPr>
        <w:t>Ensuite, des informations au sujet des épreuves 2021 ont été communiquées au mois de février afin de permettre aux élèves de s’y préparer au mieux.</w:t>
      </w:r>
    </w:p>
    <w:p>
      <w:pPr>
        <w:numPr>
          <w:ilvl w:val="0"/>
          <w:numId w:val="5"/>
        </w:numPr>
        <w:jc w:val="both"/>
        <w:rPr>
          <w:rFonts w:ascii="Calibri" w:hAnsi="Calibri" w:cs="Calibri"/>
          <w:color w:val="000000"/>
          <w:sz w:val="22"/>
          <w:szCs w:val="22"/>
          <w:lang w:val="fr-BE" w:eastAsia="fr-BE"/>
        </w:rPr>
      </w:pPr>
      <w:r>
        <w:rPr>
          <w:rFonts w:ascii="Arial" w:eastAsia="MS Mincho" w:hAnsi="Arial" w:cs="Arial"/>
          <w:lang w:eastAsia="ja-JP"/>
        </w:rPr>
        <w:t>Enfin, dans le cas où, en raison de la situation sanitaire, tous les essentiels n’auraient pas pu être enseignés, une procédure a été mise en place pour aider le jury d’école ou le conseil de classe à prendre sa décision relative à l’octroi du certificat CEB.</w:t>
      </w:r>
      <w:r>
        <w:rPr>
          <w:rFonts w:ascii="Calibri" w:hAnsi="Calibri" w:cs="Calibri"/>
          <w:color w:val="000000"/>
          <w:sz w:val="22"/>
          <w:szCs w:val="22"/>
          <w:lang w:val="fr-BE" w:eastAsia="fr-BE"/>
        </w:rPr>
        <w:t xml:space="preserve"> </w:t>
      </w:r>
    </w:p>
    <w:p>
      <w:pPr>
        <w:ind w:left="360"/>
        <w:jc w:val="both"/>
        <w:rPr>
          <w:rFonts w:ascii="Arial" w:eastAsia="MS Mincho" w:hAnsi="Arial" w:cs="Arial"/>
          <w:lang w:eastAsia="ja-JP"/>
        </w:rPr>
      </w:pPr>
    </w:p>
    <w:p>
      <w:pPr>
        <w:jc w:val="both"/>
        <w:rPr>
          <w:rFonts w:ascii="Arial" w:eastAsia="MS Mincho" w:hAnsi="Arial" w:cs="Arial"/>
          <w:lang w:eastAsia="ja-JP"/>
        </w:rPr>
      </w:pPr>
      <w:r>
        <w:rPr>
          <w:rFonts w:ascii="Arial" w:eastAsia="MS Mincho" w:hAnsi="Arial" w:cs="Arial"/>
          <w:lang w:eastAsia="ja-JP"/>
        </w:rPr>
        <w:t>Par ailleurs, la correction des CEB a été organisée de façon différente cette année en raison de la situation sanitaire. Les épreuves ont été corrigées les après-midis des jours de passation, en école, par les enseignants.</w:t>
      </w:r>
    </w:p>
    <w:p>
      <w:pPr>
        <w:rPr>
          <w:rFonts w:ascii="Arial" w:eastAsia="MS Mincho" w:hAnsi="Arial" w:cs="Arial"/>
          <w:lang w:eastAsia="ja-JP"/>
        </w:rPr>
      </w:pPr>
    </w:p>
    <w:p>
      <w:pPr>
        <w:rPr>
          <w:rFonts w:ascii="Arial" w:hAnsi="Arial" w:cs="Arial"/>
          <w:b/>
          <w:u w:val="single"/>
          <w:lang w:val="fr-BE"/>
        </w:rPr>
      </w:pPr>
      <w:r>
        <w:rPr>
          <w:rFonts w:ascii="Arial" w:hAnsi="Arial" w:cs="Arial"/>
          <w:b/>
          <w:u w:val="single"/>
          <w:lang w:val="fr-BE"/>
        </w:rPr>
        <w:t>Les résultats 2021</w:t>
      </w:r>
    </w:p>
    <w:p>
      <w:pPr>
        <w:pStyle w:val="NormalWeb"/>
        <w:spacing w:before="0" w:beforeAutospacing="0" w:after="0" w:afterAutospacing="0"/>
        <w:jc w:val="both"/>
        <w:rPr>
          <w:rFonts w:ascii="Arial" w:hAnsi="Arial" w:cs="Arial"/>
          <w:lang w:val="fr-BE"/>
        </w:rPr>
      </w:pPr>
    </w:p>
    <w:p>
      <w:pPr>
        <w:pStyle w:val="NormalWeb"/>
        <w:spacing w:before="0" w:beforeAutospacing="0" w:after="0" w:afterAutospacing="0"/>
        <w:jc w:val="both"/>
        <w:rPr>
          <w:rFonts w:ascii="Arial" w:hAnsi="Arial" w:cs="Arial"/>
          <w:lang w:val="fr-BE"/>
        </w:rPr>
      </w:pPr>
      <w:r>
        <w:rPr>
          <w:rFonts w:ascii="Arial" w:hAnsi="Arial" w:cs="Arial"/>
          <w:lang w:val="fr-BE"/>
        </w:rPr>
        <w:t>Les résultats communiqués portent uniquement sur les réussites de l’épreuve certificative externe en 6</w:t>
      </w:r>
      <w:r>
        <w:rPr>
          <w:rFonts w:ascii="Arial" w:hAnsi="Arial" w:cs="Arial"/>
          <w:vertAlign w:val="superscript"/>
          <w:lang w:val="fr-BE"/>
        </w:rPr>
        <w:t>e</w:t>
      </w:r>
      <w:r>
        <w:rPr>
          <w:rFonts w:ascii="Arial" w:hAnsi="Arial" w:cs="Arial"/>
          <w:lang w:val="fr-BE"/>
        </w:rPr>
        <w:t xml:space="preserve"> primaire. </w:t>
      </w:r>
    </w:p>
    <w:p>
      <w:pPr>
        <w:pStyle w:val="NormalWeb"/>
        <w:spacing w:before="0" w:beforeAutospacing="0" w:after="0" w:afterAutospacing="0"/>
        <w:jc w:val="both"/>
        <w:rPr>
          <w:rFonts w:ascii="Arial" w:hAnsi="Arial" w:cs="Arial"/>
          <w:lang w:val="fr-BE"/>
        </w:rPr>
      </w:pPr>
    </w:p>
    <w:p>
      <w:pPr>
        <w:pStyle w:val="NormalWeb"/>
        <w:spacing w:before="0" w:beforeAutospacing="0" w:after="0" w:afterAutospacing="0"/>
        <w:jc w:val="both"/>
        <w:rPr>
          <w:rFonts w:ascii="Arial" w:hAnsi="Arial" w:cs="Arial"/>
          <w:lang w:val="fr-BE"/>
        </w:rPr>
      </w:pPr>
      <w:r>
        <w:rPr>
          <w:rFonts w:ascii="Arial" w:hAnsi="Arial" w:cs="Arial"/>
          <w:lang w:val="fr-BE"/>
        </w:rPr>
        <w:t xml:space="preserve">Ils concernent donc exclusivement les élèves qui obtiennent </w:t>
      </w:r>
      <w:r>
        <w:rPr>
          <w:rFonts w:ascii="Arial" w:hAnsi="Arial" w:cs="Arial"/>
          <w:b/>
          <w:lang w:val="fr-BE"/>
        </w:rPr>
        <w:t>au moins 50 % des points à chacune des disciplines évaluées</w:t>
      </w:r>
      <w:r>
        <w:rPr>
          <w:rFonts w:ascii="Arial" w:hAnsi="Arial" w:cs="Arial"/>
          <w:lang w:val="fr-BE"/>
        </w:rPr>
        <w:t xml:space="preserve"> et obtiennent de facto leur CEB. </w:t>
      </w:r>
    </w:p>
    <w:p>
      <w:pPr>
        <w:pStyle w:val="NormalWeb"/>
        <w:spacing w:before="0" w:beforeAutospacing="0" w:after="0" w:afterAutospacing="0"/>
        <w:jc w:val="both"/>
        <w:rPr>
          <w:rFonts w:ascii="Arial" w:hAnsi="Arial" w:cs="Arial"/>
          <w:lang w:val="fr-BE"/>
        </w:rPr>
      </w:pPr>
    </w:p>
    <w:p>
      <w:pPr>
        <w:pStyle w:val="NormalWeb"/>
        <w:spacing w:before="0" w:beforeAutospacing="0" w:after="0" w:afterAutospacing="0"/>
        <w:jc w:val="both"/>
        <w:rPr>
          <w:rFonts w:ascii="Arial" w:hAnsi="Arial" w:cs="Arial"/>
          <w:lang w:val="fr-BE"/>
        </w:rPr>
      </w:pPr>
      <w:r>
        <w:rPr>
          <w:rFonts w:ascii="Arial" w:hAnsi="Arial" w:cs="Arial"/>
          <w:lang w:val="fr-BE"/>
        </w:rPr>
        <w:t>Les élèves qui n’auraient pas réussi cette épreuve peuvent toutefois recevoir leur CEB par leur école puisque celle-ci garde la possibilité d’attribuer le certificat en se basant sur le dossier scolaire des élèves.</w:t>
      </w:r>
    </w:p>
    <w:p>
      <w:pPr>
        <w:pStyle w:val="NormalWeb"/>
        <w:spacing w:before="0" w:beforeAutospacing="0" w:after="0" w:afterAutospacing="0"/>
        <w:jc w:val="both"/>
        <w:rPr>
          <w:rFonts w:ascii="Arial" w:hAnsi="Arial" w:cs="Arial"/>
          <w:lang w:val="fr-BE"/>
        </w:rPr>
      </w:pPr>
    </w:p>
    <w:p>
      <w:pPr>
        <w:pStyle w:val="NormalWeb"/>
        <w:spacing w:before="0" w:beforeAutospacing="0" w:after="0" w:afterAutospacing="0"/>
        <w:jc w:val="both"/>
        <w:rPr>
          <w:rFonts w:ascii="Arial" w:hAnsi="Arial" w:cs="Arial"/>
          <w:lang w:val="fr-BE"/>
        </w:rPr>
      </w:pPr>
      <w:bookmarkStart w:id="0" w:name="_GoBack"/>
      <w:r>
        <w:rPr>
          <w:rFonts w:ascii="Arial" w:hAnsi="Arial" w:cs="Arial"/>
        </w:rPr>
        <w:t>Le nombre de certificat</w:t>
      </w:r>
      <w:r>
        <w:rPr>
          <w:rFonts w:ascii="Arial" w:hAnsi="Arial" w:cs="Arial"/>
        </w:rPr>
        <w:t xml:space="preserve">s </w:t>
      </w:r>
      <w:r>
        <w:rPr>
          <w:rFonts w:ascii="Arial" w:hAnsi="Arial" w:cs="Arial"/>
        </w:rPr>
        <w:t>délivrés suite à la réussite à l’épreuve externe certificative n’est donc pas équivalent au nombre total de certificats attribués, comprenant également les CEB obtenu</w:t>
      </w:r>
      <w:r>
        <w:rPr>
          <w:rFonts w:ascii="Arial" w:hAnsi="Arial" w:cs="Arial"/>
        </w:rPr>
        <w:t xml:space="preserve">s </w:t>
      </w:r>
      <w:r>
        <w:rPr>
          <w:rFonts w:ascii="Arial" w:hAnsi="Arial" w:cs="Arial"/>
        </w:rPr>
        <w:t>à la suite des délibérations des écoles et du traitement des recours.</w:t>
      </w:r>
    </w:p>
    <w:bookmarkEnd w:id="0"/>
    <w:p>
      <w:pPr>
        <w:pStyle w:val="NormalWeb"/>
        <w:spacing w:before="0" w:beforeAutospacing="0" w:after="0" w:afterAutospacing="0"/>
        <w:jc w:val="both"/>
        <w:rPr>
          <w:rFonts w:ascii="Arial" w:hAnsi="Arial" w:cs="Arial"/>
          <w:lang w:val="fr-BE"/>
        </w:rPr>
      </w:pPr>
    </w:p>
    <w:p>
      <w:pPr>
        <w:pStyle w:val="NormalWeb"/>
        <w:spacing w:before="0" w:beforeAutospacing="0" w:after="0" w:afterAutospacing="0"/>
        <w:jc w:val="both"/>
        <w:rPr>
          <w:rFonts w:ascii="Arial" w:hAnsi="Arial" w:cs="Arial"/>
          <w:b/>
          <w:lang w:val="fr-BE"/>
        </w:rPr>
      </w:pPr>
      <w:r>
        <w:rPr>
          <w:rFonts w:ascii="Arial" w:hAnsi="Arial" w:cs="Arial"/>
          <w:b/>
          <w:lang w:val="fr-BE"/>
        </w:rPr>
        <w:t>Sur les 52.792 élèves de 6</w:t>
      </w:r>
      <w:r>
        <w:rPr>
          <w:rFonts w:ascii="Arial" w:hAnsi="Arial" w:cs="Arial"/>
          <w:b/>
          <w:vertAlign w:val="superscript"/>
          <w:lang w:val="fr-BE"/>
        </w:rPr>
        <w:t>e</w:t>
      </w:r>
      <w:r>
        <w:rPr>
          <w:rFonts w:ascii="Arial" w:hAnsi="Arial" w:cs="Arial"/>
          <w:b/>
          <w:lang w:val="fr-BE"/>
        </w:rPr>
        <w:t xml:space="preserve"> primaire qui ont présenté le CEB en juin 2021, 46 627 l’ont réussi, soit un taux de réussite de 88,32 %.</w:t>
      </w:r>
    </w:p>
    <w:p>
      <w:pPr>
        <w:pStyle w:val="NormalWeb"/>
        <w:spacing w:before="0" w:beforeAutospacing="0" w:after="0" w:afterAutospacing="0"/>
        <w:jc w:val="both"/>
        <w:rPr>
          <w:rFonts w:ascii="Arial" w:hAnsi="Arial" w:cs="Arial"/>
          <w:lang w:val="fr-BE"/>
        </w:rPr>
      </w:pPr>
    </w:p>
    <w:p>
      <w:pPr>
        <w:pStyle w:val="NormalWeb"/>
        <w:spacing w:before="0" w:beforeAutospacing="0" w:after="0" w:afterAutospacing="0"/>
        <w:jc w:val="both"/>
        <w:rPr>
          <w:rFonts w:ascii="Arial" w:hAnsi="Arial" w:cs="Arial"/>
          <w:lang w:val="fr-BE"/>
        </w:rPr>
      </w:pPr>
      <w:r>
        <w:rPr>
          <w:rFonts w:ascii="Arial" w:hAnsi="Arial" w:cs="Arial"/>
          <w:lang w:val="fr-BE"/>
        </w:rPr>
        <w:t>La moyenne des résultats obtenus par l’ensemble des élèves est de :</w:t>
      </w:r>
    </w:p>
    <w:p>
      <w:pPr>
        <w:pStyle w:val="NormalWeb"/>
        <w:spacing w:before="0" w:beforeAutospacing="0" w:after="0" w:afterAutospacing="0"/>
        <w:jc w:val="both"/>
        <w:rPr>
          <w:rFonts w:ascii="Arial" w:hAnsi="Arial" w:cs="Arial"/>
          <w:lang w:val="fr-BE"/>
        </w:rPr>
      </w:pPr>
    </w:p>
    <w:p>
      <w:pPr>
        <w:pStyle w:val="NormalWeb"/>
        <w:numPr>
          <w:ilvl w:val="0"/>
          <w:numId w:val="1"/>
        </w:numPr>
        <w:spacing w:before="0" w:beforeAutospacing="0" w:after="0" w:afterAutospacing="0"/>
        <w:jc w:val="both"/>
        <w:rPr>
          <w:rFonts w:ascii="Arial" w:hAnsi="Arial" w:cs="Arial"/>
          <w:b/>
          <w:lang w:val="fr-BE"/>
        </w:rPr>
      </w:pPr>
      <w:r>
        <w:rPr>
          <w:rFonts w:ascii="Arial" w:hAnsi="Arial" w:cs="Arial"/>
          <w:b/>
          <w:lang w:val="fr-BE"/>
        </w:rPr>
        <w:t>78,14 % en français ;</w:t>
      </w:r>
    </w:p>
    <w:p>
      <w:pPr>
        <w:pStyle w:val="NormalWeb"/>
        <w:numPr>
          <w:ilvl w:val="0"/>
          <w:numId w:val="1"/>
        </w:numPr>
        <w:spacing w:before="0" w:beforeAutospacing="0" w:after="0" w:afterAutospacing="0"/>
        <w:jc w:val="both"/>
        <w:rPr>
          <w:rFonts w:ascii="Arial" w:hAnsi="Arial" w:cs="Arial"/>
          <w:b/>
          <w:lang w:val="fr-BE"/>
        </w:rPr>
      </w:pPr>
      <w:r>
        <w:rPr>
          <w:rFonts w:ascii="Arial" w:hAnsi="Arial" w:cs="Arial"/>
          <w:b/>
          <w:lang w:val="fr-BE"/>
        </w:rPr>
        <w:t>71,52 % en mathématiques ;</w:t>
      </w:r>
    </w:p>
    <w:p>
      <w:pPr>
        <w:pStyle w:val="NormalWeb"/>
        <w:numPr>
          <w:ilvl w:val="0"/>
          <w:numId w:val="1"/>
        </w:numPr>
        <w:spacing w:before="0" w:beforeAutospacing="0" w:after="0" w:afterAutospacing="0"/>
        <w:jc w:val="both"/>
        <w:rPr>
          <w:rFonts w:ascii="Arial" w:hAnsi="Arial" w:cs="Arial"/>
          <w:lang w:val="fr-BE"/>
        </w:rPr>
      </w:pPr>
      <w:r>
        <w:rPr>
          <w:rFonts w:ascii="Arial" w:hAnsi="Arial" w:cs="Arial"/>
          <w:b/>
          <w:lang w:val="fr-BE"/>
        </w:rPr>
        <w:t>76,06 % en éveil (histoire</w:t>
      </w:r>
      <w:r>
        <w:rPr>
          <w:rFonts w:ascii="Arial" w:hAnsi="Arial" w:cs="Arial"/>
          <w:lang w:val="fr-BE"/>
        </w:rPr>
        <w:t>-</w:t>
      </w:r>
      <w:r>
        <w:rPr>
          <w:rFonts w:ascii="Arial" w:hAnsi="Arial" w:cs="Arial"/>
          <w:b/>
          <w:lang w:val="fr-BE"/>
        </w:rPr>
        <w:t>géographie et sciences</w:t>
      </w:r>
      <w:r>
        <w:rPr>
          <w:rFonts w:ascii="Arial" w:hAnsi="Arial" w:cs="Arial"/>
          <w:lang w:val="fr-BE"/>
        </w:rPr>
        <w:t>).</w:t>
      </w:r>
    </w:p>
    <w:p>
      <w:pPr>
        <w:pStyle w:val="NormalWeb"/>
        <w:spacing w:before="0" w:beforeAutospacing="0" w:after="0" w:afterAutospacing="0"/>
        <w:ind w:left="360"/>
        <w:jc w:val="both"/>
        <w:rPr>
          <w:rFonts w:ascii="Arial" w:hAnsi="Arial" w:cs="Arial"/>
          <w:lang w:val="fr-BE"/>
        </w:rPr>
      </w:pPr>
    </w:p>
    <w:p>
      <w:pPr>
        <w:pStyle w:val="NormalWeb"/>
        <w:spacing w:before="0" w:beforeAutospacing="0" w:after="0" w:afterAutospacing="0"/>
        <w:jc w:val="both"/>
        <w:rPr>
          <w:rFonts w:ascii="Arial" w:hAnsi="Arial" w:cs="Arial"/>
          <w:i/>
          <w:lang w:val="fr-BE"/>
        </w:rPr>
      </w:pPr>
      <w:r>
        <w:rPr>
          <w:rFonts w:ascii="Arial" w:hAnsi="Arial" w:cs="Arial"/>
          <w:i/>
          <w:lang w:val="fr-BE"/>
        </w:rPr>
        <w:lastRenderedPageBreak/>
        <w:t>Vous trouverez en annexe, les résultats pour cette épreuve externe commune certificative pour les années 2010 à 2021. Pour rappel, l’épreuve de 2020 a été annulée.</w:t>
      </w:r>
    </w:p>
    <w:p>
      <w:pPr>
        <w:pStyle w:val="NormalWeb"/>
        <w:spacing w:before="0" w:beforeAutospacing="0" w:after="0" w:afterAutospacing="0"/>
        <w:jc w:val="both"/>
        <w:rPr>
          <w:rFonts w:ascii="Arial" w:hAnsi="Arial" w:cs="Arial"/>
          <w:iCs/>
          <w:highlight w:val="yellow"/>
          <w:lang w:val="fr-BE"/>
        </w:rPr>
      </w:pPr>
    </w:p>
    <w:p>
      <w:pPr>
        <w:pStyle w:val="NormalWeb"/>
        <w:spacing w:before="0" w:beforeAutospacing="0" w:after="0" w:afterAutospacing="0"/>
        <w:jc w:val="both"/>
        <w:rPr>
          <w:rFonts w:ascii="Arial" w:hAnsi="Arial" w:cs="Arial"/>
          <w:b/>
          <w:iCs/>
          <w:lang w:val="fr-BE"/>
        </w:rPr>
      </w:pPr>
      <w:r>
        <w:rPr>
          <w:rFonts w:ascii="Arial" w:hAnsi="Arial" w:cs="Arial"/>
          <w:b/>
          <w:iCs/>
          <w:lang w:val="fr-BE"/>
        </w:rPr>
        <w:t>À titre indicatif, le taux de réussite à l’épreuve 2021 de 88,32 % est légèrement inférieur au taux de réussite moyen de 2019 qui est de 90,49 %.</w:t>
      </w:r>
    </w:p>
    <w:p>
      <w:pPr>
        <w:pStyle w:val="NormalWeb"/>
        <w:spacing w:before="0" w:beforeAutospacing="0" w:after="0" w:afterAutospacing="0"/>
        <w:jc w:val="both"/>
        <w:rPr>
          <w:rFonts w:ascii="Arial" w:hAnsi="Arial" w:cs="Arial"/>
          <w:iCs/>
          <w:lang w:val="fr-BE"/>
        </w:rPr>
      </w:pPr>
    </w:p>
    <w:p>
      <w:pPr>
        <w:pStyle w:val="NormalWeb"/>
        <w:spacing w:before="0" w:beforeAutospacing="0" w:after="0" w:afterAutospacing="0"/>
        <w:jc w:val="both"/>
        <w:rPr>
          <w:rFonts w:ascii="Arial" w:hAnsi="Arial" w:cs="Arial"/>
          <w:iCs/>
          <w:lang w:val="fr-BE"/>
        </w:rPr>
      </w:pPr>
      <w:r>
        <w:rPr>
          <w:rFonts w:ascii="Arial" w:hAnsi="Arial" w:cs="Arial"/>
          <w:iCs/>
          <w:lang w:val="fr-BE"/>
        </w:rPr>
        <w:t>A l’heure actuelle, diverses observations peuvent être formulées par rapport aux résultats de 2021, à savoir :</w:t>
      </w:r>
    </w:p>
    <w:p>
      <w:pPr>
        <w:pStyle w:val="NormalWeb"/>
        <w:spacing w:before="0" w:beforeAutospacing="0" w:after="0" w:afterAutospacing="0"/>
        <w:jc w:val="both"/>
        <w:rPr>
          <w:rFonts w:ascii="Arial" w:hAnsi="Arial" w:cs="Arial"/>
          <w:iCs/>
          <w:lang w:val="fr-BE"/>
        </w:rPr>
      </w:pPr>
    </w:p>
    <w:p>
      <w:pPr>
        <w:pStyle w:val="NormalWeb"/>
        <w:numPr>
          <w:ilvl w:val="0"/>
          <w:numId w:val="1"/>
        </w:numPr>
        <w:spacing w:before="0" w:beforeAutospacing="0" w:after="0" w:afterAutospacing="0"/>
        <w:jc w:val="both"/>
        <w:rPr>
          <w:rFonts w:ascii="Arial" w:hAnsi="Arial" w:cs="Arial"/>
          <w:iCs/>
          <w:lang w:val="fr-BE"/>
        </w:rPr>
      </w:pPr>
      <w:r>
        <w:rPr>
          <w:rFonts w:ascii="Arial" w:hAnsi="Arial" w:cs="Arial"/>
          <w:iCs/>
          <w:lang w:val="fr-BE"/>
        </w:rPr>
        <w:t xml:space="preserve">Tout en gardant l’épreuve prévue pour 2020, le taux de réussite est seulement de 2 % plus faible qu’en 2019 et ce malgré les conditions particulières subies par les élèves et les équipes éducatives. </w:t>
      </w:r>
    </w:p>
    <w:p>
      <w:pPr>
        <w:pStyle w:val="NormalWeb"/>
        <w:numPr>
          <w:ilvl w:val="0"/>
          <w:numId w:val="1"/>
        </w:numPr>
        <w:spacing w:before="0" w:beforeAutospacing="0" w:after="0" w:afterAutospacing="0"/>
        <w:jc w:val="both"/>
        <w:rPr>
          <w:rFonts w:ascii="Arial" w:hAnsi="Arial" w:cs="Arial"/>
          <w:iCs/>
          <w:lang w:val="fr-BE"/>
        </w:rPr>
      </w:pPr>
      <w:r>
        <w:rPr>
          <w:rFonts w:ascii="Arial" w:hAnsi="Arial" w:cs="Arial"/>
          <w:iCs/>
          <w:lang w:val="fr-BE"/>
        </w:rPr>
        <w:t>La discipline la moins bien réussie est « mathématiques ». C’est en grandeurs que le score est le plus faible. Dans ce même contexte, un taux de réussite inférieur dans le domaine mathématique et particulièrement en grandeurs est compréhensible. Le domaine des grandeurs est, par définition, le plus discriminatoire pour les élèves. Ce domaine nécessite un maximum de temps de manipulations, de concrétisations au niveau des apprentissages. Si les enseignants ont disposé de moins de temps en présence de leurs élèves, il est compréhensible que cet aspect soit parfois demeuré moins envisagé.</w:t>
      </w:r>
    </w:p>
    <w:p>
      <w:pPr>
        <w:pStyle w:val="NormalWeb"/>
        <w:numPr>
          <w:ilvl w:val="0"/>
          <w:numId w:val="1"/>
        </w:numPr>
        <w:spacing w:before="0" w:beforeAutospacing="0" w:after="0" w:afterAutospacing="0"/>
        <w:jc w:val="both"/>
        <w:rPr>
          <w:rFonts w:ascii="Arial" w:hAnsi="Arial" w:cs="Arial"/>
          <w:iCs/>
          <w:lang w:val="fr-BE"/>
        </w:rPr>
      </w:pPr>
      <w:r>
        <w:rPr>
          <w:rFonts w:ascii="Arial" w:hAnsi="Arial" w:cs="Arial"/>
        </w:rPr>
        <w:t xml:space="preserve">La discipline la mieux réussie est le français. </w:t>
      </w:r>
      <w:r>
        <w:rPr>
          <w:rFonts w:ascii="Arial" w:hAnsi="Arial" w:cs="Arial"/>
          <w:iCs/>
          <w:lang w:val="fr-BE"/>
        </w:rPr>
        <w:t xml:space="preserve">Ceci pourrait, à titre d’hypothèse être en partie expliqué par l’annonce, en février, que la production écrite porterait sur une lettre. Ce choix visait à rassurer les enseignants et leurs élèves. </w:t>
      </w:r>
    </w:p>
    <w:p>
      <w:pPr>
        <w:pStyle w:val="NormalWeb"/>
        <w:spacing w:before="0" w:beforeAutospacing="0" w:after="0" w:afterAutospacing="0"/>
        <w:ind w:left="720"/>
        <w:jc w:val="both"/>
        <w:rPr>
          <w:rFonts w:ascii="Arial" w:hAnsi="Arial" w:cs="Arial"/>
          <w:iCs/>
          <w:highlight w:val="yellow"/>
          <w:lang w:val="fr-BE"/>
        </w:rPr>
      </w:pPr>
    </w:p>
    <w:p>
      <w:pPr>
        <w:pStyle w:val="NormalWeb"/>
        <w:spacing w:before="0" w:beforeAutospacing="0" w:after="0" w:afterAutospacing="0"/>
        <w:jc w:val="both"/>
        <w:rPr>
          <w:rFonts w:ascii="Arial" w:hAnsi="Arial" w:cs="Arial"/>
          <w:iCs/>
          <w:lang w:val="fr-BE"/>
        </w:rPr>
      </w:pPr>
      <w:r>
        <w:rPr>
          <w:rFonts w:ascii="Arial" w:hAnsi="Arial" w:cs="Arial"/>
          <w:iCs/>
          <w:lang w:val="fr-BE"/>
        </w:rPr>
        <w:t xml:space="preserve">En outre, le Service général de l’Inspection et la </w:t>
      </w:r>
      <w:r>
        <w:rPr>
          <w:rFonts w:ascii="Arial" w:eastAsia="MS Mincho" w:hAnsi="Arial" w:cs="Arial"/>
          <w:lang w:eastAsia="ja-JP"/>
        </w:rPr>
        <w:t>Direction des Standards éducatifs et des Évaluations</w:t>
      </w:r>
      <w:r>
        <w:rPr>
          <w:rFonts w:ascii="Arial" w:hAnsi="Arial" w:cs="Arial"/>
          <w:iCs/>
          <w:lang w:val="fr-BE"/>
        </w:rPr>
        <w:t xml:space="preserve"> de la Direction générale du Pilotage du Système éducatif procéderont durant les prochaines semaines à l’analyse détaillée des résultats d’un échantillon d’élèves.</w:t>
      </w:r>
    </w:p>
    <w:p>
      <w:pPr>
        <w:pStyle w:val="NormalWeb"/>
        <w:spacing w:before="0" w:beforeAutospacing="0" w:after="0" w:afterAutospacing="0"/>
        <w:jc w:val="both"/>
        <w:rPr>
          <w:rFonts w:ascii="Arial" w:hAnsi="Arial" w:cs="Arial"/>
          <w:lang w:val="fr-BE"/>
        </w:rPr>
      </w:pPr>
    </w:p>
    <w:p>
      <w:pPr>
        <w:rPr>
          <w:rFonts w:ascii="Arial" w:eastAsia="MS Mincho" w:hAnsi="Arial" w:cs="Arial"/>
          <w:b/>
          <w:sz w:val="22"/>
          <w:szCs w:val="22"/>
          <w:u w:val="single"/>
          <w:lang w:eastAsia="ja-JP"/>
        </w:rPr>
      </w:pPr>
      <w:r>
        <w:rPr>
          <w:rFonts w:ascii="Arial" w:eastAsia="MS Mincho" w:hAnsi="Arial" w:cs="Arial"/>
          <w:b/>
          <w:sz w:val="22"/>
          <w:szCs w:val="22"/>
          <w:u w:val="single"/>
          <w:lang w:eastAsia="ja-JP"/>
        </w:rPr>
        <w:t>L’obtention du CEB</w:t>
      </w:r>
    </w:p>
    <w:p>
      <w:pPr>
        <w:rPr>
          <w:rFonts w:ascii="Arial" w:eastAsia="MS Mincho" w:hAnsi="Arial" w:cs="Arial"/>
          <w:sz w:val="22"/>
          <w:szCs w:val="22"/>
          <w:lang w:eastAsia="ja-JP"/>
        </w:rPr>
      </w:pPr>
    </w:p>
    <w:p>
      <w:pPr>
        <w:pStyle w:val="NormalWeb"/>
        <w:spacing w:before="0" w:beforeAutospacing="0" w:after="0" w:afterAutospacing="0"/>
        <w:jc w:val="both"/>
        <w:rPr>
          <w:rFonts w:ascii="Arial" w:hAnsi="Arial" w:cs="Arial"/>
          <w:lang w:val="fr-BE"/>
        </w:rPr>
      </w:pPr>
      <w:r>
        <w:rPr>
          <w:rFonts w:ascii="Arial" w:hAnsi="Arial" w:cs="Arial"/>
          <w:lang w:val="fr-BE"/>
        </w:rPr>
        <w:t xml:space="preserve">L’élève qui réussit l’épreuve obtient automatiquement le CEB et fréquentera dès septembre prochain la première année commune de l’enseignement secondaire. </w:t>
      </w:r>
    </w:p>
    <w:p>
      <w:pPr>
        <w:pStyle w:val="NormalWeb"/>
        <w:spacing w:before="0" w:beforeAutospacing="0" w:after="0" w:afterAutospacing="0"/>
        <w:jc w:val="both"/>
        <w:rPr>
          <w:rFonts w:ascii="Arial" w:hAnsi="Arial" w:cs="Arial"/>
          <w:lang w:val="fr-BE"/>
        </w:rPr>
      </w:pPr>
    </w:p>
    <w:p>
      <w:pPr>
        <w:pStyle w:val="NormalWeb"/>
        <w:spacing w:before="0" w:beforeAutospacing="0" w:after="0" w:afterAutospacing="0"/>
        <w:jc w:val="both"/>
        <w:rPr>
          <w:rFonts w:ascii="Arial" w:hAnsi="Arial" w:cs="Arial"/>
          <w:lang w:val="fr-BE"/>
        </w:rPr>
      </w:pPr>
      <w:r>
        <w:rPr>
          <w:rFonts w:ascii="Arial" w:hAnsi="Arial" w:cs="Arial"/>
          <w:lang w:val="fr-BE"/>
        </w:rPr>
        <w:t>En cas d’échec ou d’absence justifiée à tout ou partie de l’épreuve, les élèves peuvent obtenir le CEB sur la base des résultats des deux dernières années scolaires. C’est l’école qui prend alors cette décision.</w:t>
      </w:r>
    </w:p>
    <w:p>
      <w:pPr>
        <w:pStyle w:val="NormalWeb"/>
        <w:spacing w:before="0" w:beforeAutospacing="0" w:after="0" w:afterAutospacing="0"/>
        <w:jc w:val="both"/>
        <w:rPr>
          <w:rFonts w:ascii="Arial" w:hAnsi="Arial" w:cs="Arial"/>
          <w:lang w:val="fr-BE"/>
        </w:rPr>
      </w:pPr>
    </w:p>
    <w:p>
      <w:pPr>
        <w:pStyle w:val="NormalWeb"/>
        <w:spacing w:before="0" w:beforeAutospacing="0" w:after="0" w:afterAutospacing="0"/>
        <w:jc w:val="both"/>
        <w:rPr>
          <w:rFonts w:ascii="Arial" w:hAnsi="Arial" w:cs="Arial"/>
          <w:lang w:val="fr-BE"/>
        </w:rPr>
      </w:pPr>
      <w:r>
        <w:rPr>
          <w:rFonts w:ascii="Arial" w:hAnsi="Arial" w:cs="Arial"/>
          <w:lang w:val="fr-BE"/>
        </w:rPr>
        <w:t xml:space="preserve">Les parents de l’élève auquel l’octroi du CEB a été refusé, ou la personne investie de l’autorité parentale à son égard, ont la possibilité d’introduire un recours contre ce refus. </w:t>
      </w:r>
    </w:p>
    <w:p>
      <w:pPr>
        <w:pStyle w:val="NormalWeb"/>
        <w:spacing w:before="0" w:beforeAutospacing="0" w:after="0" w:afterAutospacing="0"/>
        <w:jc w:val="both"/>
        <w:rPr>
          <w:rFonts w:ascii="Arial" w:hAnsi="Arial" w:cs="Arial"/>
          <w:lang w:val="fr-BE"/>
        </w:rPr>
      </w:pPr>
    </w:p>
    <w:p>
      <w:pPr>
        <w:pStyle w:val="NormalWeb"/>
        <w:spacing w:before="0" w:beforeAutospacing="0" w:after="0" w:afterAutospacing="0"/>
        <w:jc w:val="both"/>
        <w:rPr>
          <w:rFonts w:ascii="Arial" w:hAnsi="Arial" w:cs="Arial"/>
          <w:lang w:val="fr-BE"/>
        </w:rPr>
      </w:pPr>
      <w:r>
        <w:rPr>
          <w:rFonts w:ascii="Arial" w:hAnsi="Arial" w:cs="Arial"/>
          <w:lang w:val="fr-BE"/>
        </w:rPr>
        <w:t xml:space="preserve">Toutes les informations utiles se trouvent sur le portail de l’enseignement en Fédération Wallonie-Bruxelles: </w:t>
      </w:r>
      <w:hyperlink r:id="rId8" w:history="1">
        <w:r>
          <w:rPr>
            <w:rStyle w:val="Lienhypertexte"/>
            <w:rFonts w:ascii="Arial" w:hAnsi="Arial" w:cs="Arial"/>
            <w:lang w:val="fr-BE"/>
          </w:rPr>
          <w:t>http://www.enseignement.be/CEB</w:t>
        </w:r>
      </w:hyperlink>
      <w:r>
        <w:rPr>
          <w:rFonts w:ascii="Arial" w:hAnsi="Arial" w:cs="Arial"/>
          <w:lang w:val="fr-BE"/>
        </w:rPr>
        <w:t xml:space="preserve"> onglet « recours CEB ».</w:t>
      </w:r>
    </w:p>
    <w:p>
      <w:pPr>
        <w:jc w:val="both"/>
        <w:rPr>
          <w:rFonts w:ascii="Arial" w:eastAsia="MS Mincho" w:hAnsi="Arial" w:cs="Arial"/>
          <w:lang w:val="fr-BE" w:eastAsia="ja-JP"/>
        </w:rPr>
      </w:pPr>
    </w:p>
    <w:p>
      <w:pPr>
        <w:jc w:val="both"/>
        <w:rPr>
          <w:rFonts w:ascii="Arial" w:eastAsia="MS Mincho" w:hAnsi="Arial" w:cs="Arial"/>
          <w:lang w:val="fr-BE" w:eastAsia="ja-JP"/>
        </w:rPr>
      </w:pPr>
      <w:r>
        <w:rPr>
          <w:rFonts w:ascii="Arial" w:eastAsia="MS Mincho" w:hAnsi="Arial" w:cs="Arial"/>
          <w:lang w:val="fr-BE" w:eastAsia="ja-JP"/>
        </w:rPr>
        <w:t xml:space="preserve">La Ministre de l’Éducation, Madame Caroline DÉSIR, remercie les enseignants, les équipes éducatives et les directions pour leur participation à la mise en œuvre de cette </w:t>
      </w:r>
      <w:r>
        <w:rPr>
          <w:rFonts w:ascii="Arial" w:eastAsia="MS Mincho" w:hAnsi="Arial" w:cs="Arial"/>
          <w:lang w:val="fr-BE" w:eastAsia="ja-JP"/>
        </w:rPr>
        <w:lastRenderedPageBreak/>
        <w:t>évaluation certificative commune et leur investissement à amener leurs élèves à la maitrise des compétences nécessaires à l’obtention du CEB.</w:t>
      </w:r>
    </w:p>
    <w:p>
      <w:pPr>
        <w:rPr>
          <w:rFonts w:ascii="Arial" w:hAnsi="Arial" w:cs="Arial"/>
        </w:rPr>
      </w:pPr>
    </w:p>
    <w:p>
      <w:pPr>
        <w:rPr>
          <w:rFonts w:ascii="Arial" w:hAnsi="Arial" w:cs="Arial"/>
          <w:color w:val="000000"/>
        </w:rPr>
      </w:pPr>
      <w:r>
        <w:rPr>
          <w:rFonts w:ascii="Arial" w:hAnsi="Arial" w:cs="Arial"/>
          <w:color w:val="000000"/>
        </w:rPr>
        <w:t xml:space="preserve">Plus d’informations sur le CEB sur le portail de l’enseignement de la Fédération Wallonie-Bruxelles : </w:t>
      </w:r>
      <w:hyperlink r:id="rId9" w:history="1">
        <w:r>
          <w:rPr>
            <w:rStyle w:val="Lienhypertexte"/>
            <w:rFonts w:ascii="Arial" w:hAnsi="Arial" w:cs="Arial"/>
          </w:rPr>
          <w:t>http://www.enseignement.be/CEB</w:t>
        </w:r>
      </w:hyperlink>
    </w:p>
    <w:p>
      <w:pPr>
        <w:rPr>
          <w:rFonts w:ascii="Arial" w:hAnsi="Arial" w:cs="Arial"/>
        </w:rPr>
      </w:pPr>
    </w:p>
    <w:p>
      <w:pPr>
        <w:rPr>
          <w:rFonts w:ascii="Arial" w:hAnsi="Arial" w:cs="Arial"/>
          <w:b/>
          <w:u w:val="single"/>
        </w:rPr>
      </w:pPr>
      <w:r>
        <w:rPr>
          <w:rFonts w:ascii="Arial" w:hAnsi="Arial" w:cs="Arial"/>
          <w:b/>
          <w:u w:val="single"/>
        </w:rPr>
        <w:t>Contacts</w:t>
      </w:r>
    </w:p>
    <w:p>
      <w:pPr>
        <w:rPr>
          <w:rFonts w:ascii="Arial" w:hAnsi="Arial" w:cs="Arial"/>
          <w:b/>
          <w:u w:val="single"/>
        </w:rPr>
      </w:pPr>
    </w:p>
    <w:p>
      <w:pPr>
        <w:rPr>
          <w:rFonts w:ascii="Arial" w:hAnsi="Arial" w:cs="Arial"/>
        </w:rPr>
      </w:pPr>
      <w:r>
        <w:rPr>
          <w:rFonts w:ascii="Arial" w:hAnsi="Arial" w:cs="Arial"/>
        </w:rPr>
        <w:t xml:space="preserve">Service Presse/ Communication : </w:t>
      </w:r>
      <w:hyperlink r:id="rId10" w:history="1">
        <w:r>
          <w:rPr>
            <w:rStyle w:val="Lienhypertexte"/>
            <w:rFonts w:ascii="Arial" w:hAnsi="Arial" w:cs="Arial"/>
          </w:rPr>
          <w:t>age.presse@cfwb.be</w:t>
        </w:r>
      </w:hyperlink>
      <w:r>
        <w:rPr>
          <w:rFonts w:ascii="Arial" w:hAnsi="Arial" w:cs="Arial"/>
        </w:rPr>
        <w:t xml:space="preserve"> 02 690 80 31</w:t>
      </w:r>
    </w:p>
    <w:p>
      <w:pPr>
        <w:autoSpaceDE w:val="0"/>
        <w:autoSpaceDN w:val="0"/>
        <w:adjustRightInd w:val="0"/>
        <w:rPr>
          <w:rFonts w:ascii="Arial" w:hAnsi="Arial" w:cs="Arial"/>
          <w:b/>
          <w:bCs/>
          <w:color w:val="000000"/>
        </w:rPr>
      </w:pPr>
      <w:r>
        <w:rPr>
          <w:rFonts w:ascii="Arial" w:hAnsi="Arial" w:cs="Arial"/>
          <w:b/>
          <w:bCs/>
          <w:color w:val="000000"/>
        </w:rPr>
        <w:t>Ministère de la Fédération Wallonie-Bruxelles</w:t>
      </w:r>
    </w:p>
    <w:p>
      <w:pPr>
        <w:autoSpaceDE w:val="0"/>
        <w:autoSpaceDN w:val="0"/>
        <w:adjustRightInd w:val="0"/>
        <w:rPr>
          <w:rFonts w:ascii="Arial" w:hAnsi="Arial" w:cs="Arial"/>
          <w:color w:val="000000"/>
        </w:rPr>
      </w:pPr>
      <w:r>
        <w:rPr>
          <w:rFonts w:ascii="Arial" w:hAnsi="Arial" w:cs="Arial"/>
          <w:color w:val="000000"/>
        </w:rPr>
        <w:t>Administration générale de l’Enseignement</w:t>
      </w:r>
    </w:p>
    <w:p>
      <w:pPr>
        <w:rPr>
          <w:rFonts w:ascii="Arial" w:hAnsi="Arial" w:cs="Arial"/>
          <w:color w:val="000000"/>
        </w:rPr>
      </w:pPr>
    </w:p>
    <w:p>
      <w:pPr>
        <w:rPr>
          <w:rFonts w:ascii="Arial" w:hAnsi="Arial" w:cs="Arial"/>
        </w:rPr>
      </w:pPr>
    </w:p>
    <w:p>
      <w:pPr>
        <w:jc w:val="center"/>
        <w:rPr>
          <w:rFonts w:ascii="Arial" w:hAnsi="Arial" w:cs="Arial"/>
          <w:b/>
        </w:rPr>
      </w:pPr>
      <w:r>
        <w:rPr>
          <w:rFonts w:ascii="Arial" w:hAnsi="Arial" w:cs="Arial"/>
          <w:b/>
        </w:rPr>
        <w:t>CEB 6</w:t>
      </w:r>
      <w:r>
        <w:rPr>
          <w:rFonts w:ascii="Arial" w:hAnsi="Arial" w:cs="Arial"/>
          <w:b/>
          <w:vertAlign w:val="superscript"/>
        </w:rPr>
        <w:t>e</w:t>
      </w:r>
      <w:r>
        <w:rPr>
          <w:rFonts w:ascii="Arial" w:hAnsi="Arial" w:cs="Arial"/>
          <w:b/>
        </w:rPr>
        <w:t xml:space="preserve"> primaire – Évolution 2010-2021</w:t>
      </w:r>
    </w:p>
    <w:p>
      <w:pPr>
        <w:rPr>
          <w:rFonts w:ascii="Arial" w:hAnsi="Arial" w:cs="Arial"/>
        </w:rPr>
      </w:pPr>
    </w:p>
    <w:p>
      <w:pPr>
        <w:spacing w:after="240"/>
        <w:rPr>
          <w:rFonts w:ascii="Arial" w:hAnsi="Arial" w:cs="Arial"/>
          <w:i/>
          <w:iCs/>
          <w:u w:val="single"/>
        </w:rPr>
      </w:pPr>
      <w:r>
        <w:rPr>
          <w:rFonts w:ascii="Arial" w:hAnsi="Arial" w:cs="Arial"/>
          <w:i/>
          <w:iCs/>
          <w:u w:val="single"/>
        </w:rPr>
        <w:t>Nombre d’élèves ayant présenté l’épreuve</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
        <w:gridCol w:w="964"/>
        <w:gridCol w:w="964"/>
        <w:gridCol w:w="964"/>
        <w:gridCol w:w="964"/>
        <w:gridCol w:w="964"/>
        <w:gridCol w:w="964"/>
        <w:gridCol w:w="964"/>
        <w:gridCol w:w="964"/>
        <w:gridCol w:w="964"/>
        <w:gridCol w:w="964"/>
      </w:tblGrid>
      <w:tr>
        <w:trPr>
          <w:trHeight w:val="454"/>
          <w:jc w:val="center"/>
        </w:trPr>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2010</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2011</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2012</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2013</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2014</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2015</w:t>
            </w:r>
          </w:p>
        </w:tc>
        <w:tc>
          <w:tcPr>
            <w:tcW w:w="964" w:type="dxa"/>
            <w:shd w:val="clear" w:color="auto" w:fill="E7E6E6" w:themeFill="background2"/>
            <w:vAlign w:val="center"/>
            <w:hideMark/>
          </w:tcPr>
          <w:p>
            <w:pPr>
              <w:spacing w:line="256" w:lineRule="auto"/>
              <w:jc w:val="center"/>
              <w:rPr>
                <w:rFonts w:ascii="Arial" w:hAnsi="Arial" w:cs="Arial"/>
                <w:sz w:val="20"/>
                <w:szCs w:val="20"/>
                <w:lang w:eastAsia="en-US"/>
              </w:rPr>
            </w:pPr>
            <w:r>
              <w:rPr>
                <w:rFonts w:ascii="Arial" w:hAnsi="Arial" w:cs="Arial"/>
                <w:sz w:val="20"/>
                <w:szCs w:val="20"/>
              </w:rPr>
              <w:t>2016</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lang w:eastAsia="en-US"/>
              </w:rPr>
            </w:pPr>
            <w:r>
              <w:rPr>
                <w:rFonts w:ascii="Arial" w:hAnsi="Arial" w:cs="Arial"/>
                <w:sz w:val="20"/>
                <w:szCs w:val="20"/>
              </w:rPr>
              <w:t>2017</w:t>
            </w:r>
          </w:p>
        </w:tc>
        <w:tc>
          <w:tcPr>
            <w:tcW w:w="964" w:type="dxa"/>
            <w:shd w:val="clear" w:color="auto" w:fill="E7E6E6" w:themeFill="background2"/>
            <w:vAlign w:val="center"/>
            <w:hideMark/>
          </w:tcPr>
          <w:p>
            <w:pPr>
              <w:spacing w:line="256" w:lineRule="auto"/>
              <w:jc w:val="center"/>
              <w:rPr>
                <w:rFonts w:ascii="Arial" w:hAnsi="Arial" w:cs="Arial"/>
                <w:sz w:val="20"/>
                <w:szCs w:val="20"/>
                <w:lang w:eastAsia="en-US"/>
              </w:rPr>
            </w:pPr>
            <w:r>
              <w:rPr>
                <w:rFonts w:ascii="Arial" w:hAnsi="Arial" w:cs="Arial"/>
                <w:sz w:val="20"/>
                <w:szCs w:val="20"/>
                <w:lang w:eastAsia="en-US"/>
              </w:rPr>
              <w:t>2018</w:t>
            </w:r>
          </w:p>
        </w:tc>
        <w:tc>
          <w:tcPr>
            <w:tcW w:w="964" w:type="dxa"/>
            <w:shd w:val="clear" w:color="auto" w:fill="E7E6E6" w:themeFill="background2"/>
            <w:vAlign w:val="center"/>
            <w:hideMark/>
          </w:tcPr>
          <w:p>
            <w:pPr>
              <w:spacing w:line="256" w:lineRule="auto"/>
              <w:jc w:val="center"/>
              <w:rPr>
                <w:rFonts w:ascii="Arial" w:hAnsi="Arial" w:cs="Arial"/>
                <w:sz w:val="20"/>
                <w:szCs w:val="22"/>
                <w:lang w:eastAsia="en-US"/>
              </w:rPr>
            </w:pPr>
            <w:r>
              <w:rPr>
                <w:rFonts w:ascii="Arial" w:hAnsi="Arial" w:cs="Arial"/>
                <w:sz w:val="20"/>
                <w:szCs w:val="22"/>
                <w:lang w:eastAsia="en-US"/>
              </w:rPr>
              <w:t>2019</w:t>
            </w:r>
          </w:p>
        </w:tc>
        <w:tc>
          <w:tcPr>
            <w:tcW w:w="964" w:type="dxa"/>
            <w:shd w:val="clear" w:color="auto" w:fill="E7E6E6" w:themeFill="background2"/>
            <w:vAlign w:val="center"/>
          </w:tcPr>
          <w:p>
            <w:pPr>
              <w:spacing w:line="256" w:lineRule="auto"/>
              <w:jc w:val="center"/>
              <w:rPr>
                <w:rFonts w:ascii="Arial" w:hAnsi="Arial" w:cs="Arial"/>
                <w:sz w:val="20"/>
                <w:szCs w:val="22"/>
                <w:lang w:eastAsia="en-US"/>
              </w:rPr>
            </w:pPr>
            <w:r>
              <w:rPr>
                <w:rFonts w:ascii="Arial" w:hAnsi="Arial" w:cs="Arial"/>
                <w:sz w:val="20"/>
                <w:szCs w:val="22"/>
                <w:lang w:eastAsia="en-US"/>
              </w:rPr>
              <w:t>2021</w:t>
            </w:r>
          </w:p>
        </w:tc>
      </w:tr>
      <w:tr>
        <w:trPr>
          <w:trHeight w:val="454"/>
          <w:jc w:val="center"/>
        </w:trPr>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46 885</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47 098</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48 297</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48 859</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47 797</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48 479</w:t>
            </w:r>
          </w:p>
        </w:tc>
        <w:tc>
          <w:tcPr>
            <w:tcW w:w="964" w:type="dxa"/>
            <w:vAlign w:val="center"/>
            <w:hideMark/>
          </w:tcPr>
          <w:p>
            <w:pPr>
              <w:spacing w:line="256" w:lineRule="auto"/>
              <w:jc w:val="center"/>
              <w:rPr>
                <w:rFonts w:ascii="Arial" w:hAnsi="Arial" w:cs="Arial"/>
                <w:sz w:val="20"/>
                <w:szCs w:val="20"/>
                <w:lang w:eastAsia="en-US"/>
              </w:rPr>
            </w:pPr>
            <w:r>
              <w:rPr>
                <w:rFonts w:ascii="Arial" w:hAnsi="Arial" w:cs="Arial"/>
                <w:sz w:val="20"/>
                <w:szCs w:val="20"/>
              </w:rPr>
              <w:t>48 843</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lang w:eastAsia="en-US"/>
              </w:rPr>
            </w:pPr>
            <w:r>
              <w:rPr>
                <w:rFonts w:ascii="Arial" w:hAnsi="Arial" w:cs="Arial"/>
                <w:sz w:val="20"/>
                <w:szCs w:val="20"/>
              </w:rPr>
              <w:t>49 706</w:t>
            </w:r>
          </w:p>
        </w:tc>
        <w:tc>
          <w:tcPr>
            <w:tcW w:w="964" w:type="dxa"/>
            <w:vAlign w:val="center"/>
            <w:hideMark/>
          </w:tcPr>
          <w:p>
            <w:pPr>
              <w:spacing w:line="256" w:lineRule="auto"/>
              <w:jc w:val="center"/>
              <w:rPr>
                <w:rFonts w:ascii="Arial" w:hAnsi="Arial" w:cs="Arial"/>
                <w:sz w:val="20"/>
                <w:szCs w:val="20"/>
              </w:rPr>
            </w:pPr>
            <w:r>
              <w:rPr>
                <w:rFonts w:ascii="Arial" w:hAnsi="Arial" w:cs="Arial"/>
                <w:sz w:val="20"/>
                <w:szCs w:val="20"/>
              </w:rPr>
              <w:t>51 192</w:t>
            </w:r>
          </w:p>
        </w:tc>
        <w:tc>
          <w:tcPr>
            <w:tcW w:w="964" w:type="dxa"/>
            <w:vAlign w:val="center"/>
            <w:hideMark/>
          </w:tcPr>
          <w:p>
            <w:pPr>
              <w:spacing w:line="256" w:lineRule="auto"/>
              <w:jc w:val="center"/>
              <w:rPr>
                <w:rFonts w:ascii="Arial" w:hAnsi="Arial" w:cs="Arial"/>
                <w:sz w:val="20"/>
                <w:szCs w:val="22"/>
              </w:rPr>
            </w:pPr>
            <w:r>
              <w:rPr>
                <w:rFonts w:ascii="Arial" w:hAnsi="Arial" w:cs="Arial"/>
                <w:sz w:val="20"/>
                <w:szCs w:val="22"/>
              </w:rPr>
              <w:t>51 069</w:t>
            </w:r>
          </w:p>
        </w:tc>
        <w:tc>
          <w:tcPr>
            <w:tcW w:w="964" w:type="dxa"/>
            <w:vAlign w:val="center"/>
          </w:tcPr>
          <w:p>
            <w:pPr>
              <w:spacing w:line="256" w:lineRule="auto"/>
              <w:jc w:val="center"/>
              <w:rPr>
                <w:rFonts w:ascii="Arial" w:hAnsi="Arial" w:cs="Arial"/>
                <w:sz w:val="20"/>
                <w:szCs w:val="22"/>
                <w:lang w:eastAsia="en-US"/>
              </w:rPr>
            </w:pPr>
            <w:r>
              <w:rPr>
                <w:rFonts w:ascii="Arial" w:hAnsi="Arial" w:cs="Arial"/>
                <w:sz w:val="20"/>
                <w:szCs w:val="22"/>
                <w:lang w:eastAsia="en-US"/>
              </w:rPr>
              <w:t>52 792</w:t>
            </w:r>
          </w:p>
        </w:tc>
      </w:tr>
    </w:tbl>
    <w:p>
      <w:pPr>
        <w:rPr>
          <w:rFonts w:ascii="Arial" w:hAnsi="Arial" w:cs="Arial"/>
          <w:color w:val="0000FF"/>
        </w:rPr>
      </w:pPr>
    </w:p>
    <w:p>
      <w:pPr>
        <w:rPr>
          <w:rFonts w:ascii="Arial" w:hAnsi="Arial" w:cs="Arial"/>
          <w:i/>
          <w:iCs/>
          <w:u w:val="single"/>
        </w:rPr>
      </w:pPr>
      <w:r>
        <w:rPr>
          <w:rFonts w:ascii="Arial" w:hAnsi="Arial" w:cs="Arial"/>
          <w:i/>
          <w:iCs/>
          <w:u w:val="single"/>
        </w:rPr>
        <w:t xml:space="preserve">Pourcentage de réussite à l’épreuve </w:t>
      </w:r>
    </w:p>
    <w:p>
      <w:pPr>
        <w:rPr>
          <w:rFonts w:ascii="Arial" w:hAnsi="Arial" w:cs="Arial"/>
          <w:color w:val="0000FF"/>
          <w:sz w:val="18"/>
          <w:szCs w:val="18"/>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
        <w:gridCol w:w="964"/>
        <w:gridCol w:w="964"/>
        <w:gridCol w:w="964"/>
        <w:gridCol w:w="964"/>
        <w:gridCol w:w="964"/>
        <w:gridCol w:w="964"/>
        <w:gridCol w:w="964"/>
        <w:gridCol w:w="964"/>
        <w:gridCol w:w="964"/>
        <w:gridCol w:w="964"/>
      </w:tblGrid>
      <w:tr>
        <w:trPr>
          <w:trHeight w:val="454"/>
          <w:jc w:val="center"/>
        </w:trPr>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2010</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2011</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2012</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2013</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2014</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2015</w:t>
            </w:r>
          </w:p>
        </w:tc>
        <w:tc>
          <w:tcPr>
            <w:tcW w:w="964" w:type="dxa"/>
            <w:shd w:val="clear" w:color="auto" w:fill="E7E6E6" w:themeFill="background2"/>
            <w:vAlign w:val="center"/>
            <w:hideMark/>
          </w:tcPr>
          <w:p>
            <w:pPr>
              <w:spacing w:line="256" w:lineRule="auto"/>
              <w:jc w:val="center"/>
              <w:rPr>
                <w:rFonts w:ascii="Arial" w:hAnsi="Arial" w:cs="Arial"/>
                <w:sz w:val="20"/>
                <w:szCs w:val="20"/>
                <w:lang w:eastAsia="en-US"/>
              </w:rPr>
            </w:pPr>
            <w:r>
              <w:rPr>
                <w:rFonts w:ascii="Arial" w:hAnsi="Arial" w:cs="Arial"/>
                <w:sz w:val="20"/>
                <w:szCs w:val="20"/>
              </w:rPr>
              <w:t>2016</w:t>
            </w:r>
          </w:p>
        </w:tc>
        <w:tc>
          <w:tcPr>
            <w:tcW w:w="964"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szCs w:val="20"/>
                <w:lang w:eastAsia="en-US"/>
              </w:rPr>
            </w:pPr>
            <w:r>
              <w:rPr>
                <w:rFonts w:ascii="Arial" w:hAnsi="Arial" w:cs="Arial"/>
                <w:sz w:val="20"/>
                <w:szCs w:val="20"/>
              </w:rPr>
              <w:t>2017</w:t>
            </w:r>
          </w:p>
        </w:tc>
        <w:tc>
          <w:tcPr>
            <w:tcW w:w="964" w:type="dxa"/>
            <w:shd w:val="clear" w:color="auto" w:fill="E7E6E6" w:themeFill="background2"/>
            <w:vAlign w:val="center"/>
            <w:hideMark/>
          </w:tcPr>
          <w:p>
            <w:pPr>
              <w:spacing w:line="256" w:lineRule="auto"/>
              <w:jc w:val="center"/>
              <w:rPr>
                <w:rFonts w:ascii="Arial" w:hAnsi="Arial" w:cs="Arial"/>
                <w:sz w:val="20"/>
                <w:szCs w:val="20"/>
                <w:lang w:eastAsia="en-US"/>
              </w:rPr>
            </w:pPr>
            <w:r>
              <w:rPr>
                <w:rFonts w:ascii="Arial" w:hAnsi="Arial" w:cs="Arial"/>
                <w:sz w:val="20"/>
                <w:szCs w:val="20"/>
                <w:lang w:eastAsia="en-US"/>
              </w:rPr>
              <w:t>2018</w:t>
            </w:r>
          </w:p>
        </w:tc>
        <w:tc>
          <w:tcPr>
            <w:tcW w:w="964" w:type="dxa"/>
            <w:shd w:val="clear" w:color="auto" w:fill="E7E6E6" w:themeFill="background2"/>
            <w:vAlign w:val="center"/>
            <w:hideMark/>
          </w:tcPr>
          <w:p>
            <w:pPr>
              <w:spacing w:line="256" w:lineRule="auto"/>
              <w:jc w:val="center"/>
              <w:rPr>
                <w:rFonts w:ascii="Arial" w:hAnsi="Arial" w:cs="Arial"/>
                <w:sz w:val="20"/>
                <w:szCs w:val="22"/>
                <w:lang w:eastAsia="en-US"/>
              </w:rPr>
            </w:pPr>
            <w:r>
              <w:rPr>
                <w:rFonts w:ascii="Arial" w:hAnsi="Arial" w:cs="Arial"/>
                <w:sz w:val="20"/>
                <w:szCs w:val="22"/>
                <w:lang w:eastAsia="en-US"/>
              </w:rPr>
              <w:t>2019</w:t>
            </w:r>
          </w:p>
        </w:tc>
        <w:tc>
          <w:tcPr>
            <w:tcW w:w="964" w:type="dxa"/>
            <w:shd w:val="clear" w:color="auto" w:fill="E7E6E6" w:themeFill="background2"/>
            <w:vAlign w:val="center"/>
          </w:tcPr>
          <w:p>
            <w:pPr>
              <w:spacing w:line="256" w:lineRule="auto"/>
              <w:jc w:val="center"/>
              <w:rPr>
                <w:rFonts w:ascii="Arial" w:hAnsi="Arial" w:cs="Arial"/>
                <w:sz w:val="20"/>
                <w:szCs w:val="22"/>
                <w:lang w:eastAsia="en-US"/>
              </w:rPr>
            </w:pPr>
            <w:r>
              <w:rPr>
                <w:rFonts w:ascii="Arial" w:hAnsi="Arial" w:cs="Arial"/>
                <w:sz w:val="20"/>
                <w:szCs w:val="22"/>
                <w:lang w:eastAsia="en-US"/>
              </w:rPr>
              <w:t>2021</w:t>
            </w:r>
          </w:p>
        </w:tc>
      </w:tr>
      <w:tr>
        <w:trPr>
          <w:trHeight w:val="454"/>
          <w:jc w:val="center"/>
        </w:trPr>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94,9%</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91,8%</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92,1%</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96,29%</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88,54%</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rPr>
            </w:pPr>
            <w:r>
              <w:rPr>
                <w:rFonts w:ascii="Arial" w:hAnsi="Arial" w:cs="Arial"/>
                <w:sz w:val="20"/>
                <w:szCs w:val="20"/>
              </w:rPr>
              <w:t>93,11%</w:t>
            </w:r>
          </w:p>
        </w:tc>
        <w:tc>
          <w:tcPr>
            <w:tcW w:w="964" w:type="dxa"/>
            <w:vAlign w:val="center"/>
            <w:hideMark/>
          </w:tcPr>
          <w:p>
            <w:pPr>
              <w:spacing w:line="256" w:lineRule="auto"/>
              <w:jc w:val="center"/>
              <w:rPr>
                <w:rFonts w:ascii="Arial" w:hAnsi="Arial" w:cs="Arial"/>
                <w:sz w:val="20"/>
                <w:szCs w:val="20"/>
                <w:lang w:eastAsia="en-US"/>
              </w:rPr>
            </w:pPr>
            <w:r>
              <w:rPr>
                <w:rFonts w:ascii="Arial" w:hAnsi="Arial" w:cs="Arial"/>
                <w:sz w:val="20"/>
                <w:szCs w:val="20"/>
              </w:rPr>
              <w:t>91,18%</w:t>
            </w:r>
          </w:p>
        </w:tc>
        <w:tc>
          <w:tcPr>
            <w:tcW w:w="964" w:type="dxa"/>
            <w:tcMar>
              <w:top w:w="0" w:type="dxa"/>
              <w:left w:w="70" w:type="dxa"/>
              <w:bottom w:w="0" w:type="dxa"/>
              <w:right w:w="70" w:type="dxa"/>
            </w:tcMar>
            <w:vAlign w:val="center"/>
            <w:hideMark/>
          </w:tcPr>
          <w:p>
            <w:pPr>
              <w:spacing w:line="256" w:lineRule="auto"/>
              <w:jc w:val="center"/>
              <w:rPr>
                <w:rFonts w:ascii="Arial" w:hAnsi="Arial" w:cs="Arial"/>
                <w:sz w:val="20"/>
                <w:szCs w:val="20"/>
                <w:lang w:eastAsia="en-US"/>
              </w:rPr>
            </w:pPr>
            <w:r>
              <w:rPr>
                <w:rFonts w:ascii="Arial" w:hAnsi="Arial" w:cs="Arial"/>
                <w:sz w:val="20"/>
                <w:szCs w:val="20"/>
              </w:rPr>
              <w:t>85,5%</w:t>
            </w:r>
          </w:p>
        </w:tc>
        <w:tc>
          <w:tcPr>
            <w:tcW w:w="964" w:type="dxa"/>
            <w:vAlign w:val="center"/>
            <w:hideMark/>
          </w:tcPr>
          <w:p>
            <w:pPr>
              <w:spacing w:line="256" w:lineRule="auto"/>
              <w:jc w:val="center"/>
              <w:rPr>
                <w:rFonts w:ascii="Arial" w:hAnsi="Arial" w:cs="Arial"/>
                <w:sz w:val="20"/>
                <w:szCs w:val="20"/>
              </w:rPr>
            </w:pPr>
            <w:r>
              <w:rPr>
                <w:rFonts w:ascii="Arial" w:hAnsi="Arial" w:cs="Arial"/>
                <w:sz w:val="20"/>
                <w:szCs w:val="20"/>
              </w:rPr>
              <w:t>90,63%</w:t>
            </w:r>
          </w:p>
        </w:tc>
        <w:tc>
          <w:tcPr>
            <w:tcW w:w="964" w:type="dxa"/>
            <w:vAlign w:val="center"/>
            <w:hideMark/>
          </w:tcPr>
          <w:p>
            <w:pPr>
              <w:spacing w:line="256" w:lineRule="auto"/>
              <w:jc w:val="center"/>
              <w:rPr>
                <w:rFonts w:ascii="Arial" w:hAnsi="Arial" w:cs="Arial"/>
                <w:sz w:val="20"/>
                <w:szCs w:val="22"/>
              </w:rPr>
            </w:pPr>
            <w:r>
              <w:rPr>
                <w:rFonts w:ascii="Arial" w:hAnsi="Arial" w:cs="Arial"/>
                <w:sz w:val="20"/>
                <w:szCs w:val="22"/>
              </w:rPr>
              <w:t>90,49%</w:t>
            </w:r>
          </w:p>
        </w:tc>
        <w:tc>
          <w:tcPr>
            <w:tcW w:w="964" w:type="dxa"/>
            <w:vAlign w:val="center"/>
          </w:tcPr>
          <w:p>
            <w:pPr>
              <w:spacing w:line="256" w:lineRule="auto"/>
              <w:jc w:val="center"/>
              <w:rPr>
                <w:rFonts w:ascii="Arial" w:hAnsi="Arial" w:cs="Arial"/>
                <w:sz w:val="20"/>
                <w:szCs w:val="22"/>
                <w:lang w:eastAsia="en-US"/>
              </w:rPr>
            </w:pPr>
            <w:r>
              <w:rPr>
                <w:rFonts w:ascii="Arial" w:hAnsi="Arial" w:cs="Arial"/>
                <w:sz w:val="20"/>
                <w:szCs w:val="22"/>
                <w:lang w:eastAsia="en-US"/>
              </w:rPr>
              <w:t>88,32%</w:t>
            </w:r>
          </w:p>
        </w:tc>
      </w:tr>
    </w:tbl>
    <w:p>
      <w:pPr>
        <w:rPr>
          <w:rFonts w:ascii="Arial" w:hAnsi="Arial" w:cs="Arial"/>
        </w:rPr>
      </w:pPr>
    </w:p>
    <w:p>
      <w:pPr>
        <w:spacing w:after="240"/>
        <w:rPr>
          <w:rFonts w:ascii="Arial" w:hAnsi="Arial" w:cs="Arial"/>
          <w:i/>
          <w:iCs/>
          <w:u w:val="single"/>
        </w:rPr>
      </w:pPr>
      <w:r>
        <w:rPr>
          <w:rFonts w:ascii="Arial" w:hAnsi="Arial" w:cs="Arial"/>
          <w:i/>
          <w:iCs/>
          <w:u w:val="single"/>
        </w:rPr>
        <w:t>Moyenne globale obtenue par discipline par les élèves</w:t>
      </w:r>
    </w:p>
    <w:tbl>
      <w:tblPr>
        <w:tblpPr w:leftFromText="141" w:rightFromText="141" w:bottomFromText="160" w:vertAnchor="text" w:tblpX="-714"/>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3"/>
        <w:gridCol w:w="829"/>
        <w:gridCol w:w="829"/>
        <w:gridCol w:w="830"/>
        <w:gridCol w:w="829"/>
        <w:gridCol w:w="830"/>
        <w:gridCol w:w="829"/>
        <w:gridCol w:w="830"/>
        <w:gridCol w:w="829"/>
        <w:gridCol w:w="830"/>
        <w:gridCol w:w="829"/>
        <w:gridCol w:w="830"/>
      </w:tblGrid>
      <w:tr>
        <w:trPr>
          <w:trHeight w:val="620"/>
        </w:trPr>
        <w:tc>
          <w:tcPr>
            <w:tcW w:w="1513" w:type="dxa"/>
            <w:tcMar>
              <w:top w:w="0" w:type="dxa"/>
              <w:left w:w="70" w:type="dxa"/>
              <w:bottom w:w="0" w:type="dxa"/>
              <w:right w:w="70" w:type="dxa"/>
            </w:tcMar>
            <w:vAlign w:val="center"/>
          </w:tcPr>
          <w:p>
            <w:pPr>
              <w:spacing w:line="256" w:lineRule="auto"/>
              <w:ind w:left="-212" w:firstLine="212"/>
              <w:jc w:val="center"/>
              <w:rPr>
                <w:rFonts w:ascii="Arial" w:hAnsi="Arial" w:cs="Arial"/>
                <w:sz w:val="20"/>
              </w:rPr>
            </w:pPr>
          </w:p>
        </w:tc>
        <w:tc>
          <w:tcPr>
            <w:tcW w:w="829"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2010</w:t>
            </w:r>
          </w:p>
        </w:tc>
        <w:tc>
          <w:tcPr>
            <w:tcW w:w="829"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2011</w:t>
            </w:r>
          </w:p>
        </w:tc>
        <w:tc>
          <w:tcPr>
            <w:tcW w:w="830"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2012</w:t>
            </w:r>
          </w:p>
        </w:tc>
        <w:tc>
          <w:tcPr>
            <w:tcW w:w="829"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2013</w:t>
            </w:r>
          </w:p>
        </w:tc>
        <w:tc>
          <w:tcPr>
            <w:tcW w:w="830"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2014</w:t>
            </w:r>
          </w:p>
        </w:tc>
        <w:tc>
          <w:tcPr>
            <w:tcW w:w="829"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2015</w:t>
            </w:r>
          </w:p>
        </w:tc>
        <w:tc>
          <w:tcPr>
            <w:tcW w:w="830"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2016</w:t>
            </w:r>
          </w:p>
        </w:tc>
        <w:tc>
          <w:tcPr>
            <w:tcW w:w="829"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2017</w:t>
            </w:r>
          </w:p>
        </w:tc>
        <w:tc>
          <w:tcPr>
            <w:tcW w:w="830" w:type="dxa"/>
            <w:shd w:val="clear" w:color="auto" w:fill="E7E6E6" w:themeFill="background2"/>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2018</w:t>
            </w:r>
          </w:p>
        </w:tc>
        <w:tc>
          <w:tcPr>
            <w:tcW w:w="829" w:type="dxa"/>
            <w:shd w:val="clear" w:color="auto" w:fill="E7E6E6" w:themeFill="background2"/>
            <w:vAlign w:val="center"/>
            <w:hideMark/>
          </w:tcPr>
          <w:p>
            <w:pPr>
              <w:spacing w:line="256" w:lineRule="auto"/>
              <w:jc w:val="center"/>
              <w:rPr>
                <w:rFonts w:ascii="Arial" w:hAnsi="Arial" w:cs="Arial"/>
                <w:sz w:val="20"/>
              </w:rPr>
            </w:pPr>
            <w:r>
              <w:rPr>
                <w:rFonts w:ascii="Arial" w:hAnsi="Arial" w:cs="Arial"/>
                <w:sz w:val="20"/>
              </w:rPr>
              <w:t>2019</w:t>
            </w:r>
          </w:p>
        </w:tc>
        <w:tc>
          <w:tcPr>
            <w:tcW w:w="830" w:type="dxa"/>
            <w:shd w:val="clear" w:color="auto" w:fill="E7E6E6" w:themeFill="background2"/>
            <w:vAlign w:val="center"/>
          </w:tcPr>
          <w:p>
            <w:pPr>
              <w:spacing w:line="256" w:lineRule="auto"/>
              <w:jc w:val="center"/>
              <w:rPr>
                <w:rFonts w:ascii="Arial" w:hAnsi="Arial" w:cs="Arial"/>
                <w:sz w:val="20"/>
              </w:rPr>
            </w:pPr>
            <w:r>
              <w:rPr>
                <w:rFonts w:ascii="Arial" w:hAnsi="Arial" w:cs="Arial"/>
                <w:sz w:val="20"/>
              </w:rPr>
              <w:t>2021</w:t>
            </w:r>
          </w:p>
        </w:tc>
      </w:tr>
      <w:tr>
        <w:trPr>
          <w:trHeight w:val="620"/>
        </w:trPr>
        <w:tc>
          <w:tcPr>
            <w:tcW w:w="1513"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Français</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77,3%</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73,8%</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72,1%</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78,67%</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72,09%</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74,56%</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74,04%</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70,32%</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75,72%</w:t>
            </w:r>
          </w:p>
        </w:tc>
        <w:tc>
          <w:tcPr>
            <w:tcW w:w="829" w:type="dxa"/>
            <w:vAlign w:val="center"/>
            <w:hideMark/>
          </w:tcPr>
          <w:p>
            <w:pPr>
              <w:spacing w:line="256" w:lineRule="auto"/>
              <w:jc w:val="center"/>
              <w:rPr>
                <w:rFonts w:ascii="Arial" w:hAnsi="Arial" w:cs="Arial"/>
                <w:sz w:val="20"/>
              </w:rPr>
            </w:pPr>
            <w:r>
              <w:rPr>
                <w:rFonts w:ascii="Arial" w:hAnsi="Arial" w:cs="Arial"/>
                <w:sz w:val="20"/>
              </w:rPr>
              <w:t>70,98%</w:t>
            </w:r>
          </w:p>
        </w:tc>
        <w:tc>
          <w:tcPr>
            <w:tcW w:w="830" w:type="dxa"/>
            <w:vAlign w:val="center"/>
          </w:tcPr>
          <w:p>
            <w:pPr>
              <w:spacing w:line="256" w:lineRule="auto"/>
              <w:jc w:val="center"/>
              <w:rPr>
                <w:rFonts w:ascii="Arial" w:hAnsi="Arial" w:cs="Arial"/>
                <w:sz w:val="20"/>
              </w:rPr>
            </w:pPr>
            <w:r>
              <w:rPr>
                <w:rFonts w:ascii="Arial" w:hAnsi="Arial" w:cs="Arial"/>
                <w:sz w:val="20"/>
              </w:rPr>
              <w:t>78,14%</w:t>
            </w:r>
          </w:p>
        </w:tc>
      </w:tr>
      <w:tr>
        <w:trPr>
          <w:trHeight w:val="620"/>
        </w:trPr>
        <w:tc>
          <w:tcPr>
            <w:tcW w:w="1513"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Mathématiques</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75,0%</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72,6%</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75,8%</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80,93%</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72,38%</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75,38%</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73,16%</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70,73%</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75,92%</w:t>
            </w:r>
          </w:p>
        </w:tc>
        <w:tc>
          <w:tcPr>
            <w:tcW w:w="829" w:type="dxa"/>
            <w:vAlign w:val="center"/>
            <w:hideMark/>
          </w:tcPr>
          <w:p>
            <w:pPr>
              <w:spacing w:line="256" w:lineRule="auto"/>
              <w:jc w:val="center"/>
              <w:rPr>
                <w:rFonts w:ascii="Arial" w:hAnsi="Arial" w:cs="Arial"/>
                <w:sz w:val="20"/>
              </w:rPr>
            </w:pPr>
            <w:r>
              <w:rPr>
                <w:rFonts w:ascii="Arial" w:hAnsi="Arial" w:cs="Arial"/>
                <w:sz w:val="20"/>
              </w:rPr>
              <w:t>74,47%</w:t>
            </w:r>
          </w:p>
        </w:tc>
        <w:tc>
          <w:tcPr>
            <w:tcW w:w="830" w:type="dxa"/>
            <w:vAlign w:val="center"/>
          </w:tcPr>
          <w:p>
            <w:pPr>
              <w:spacing w:line="256" w:lineRule="auto"/>
              <w:jc w:val="center"/>
              <w:rPr>
                <w:rFonts w:ascii="Arial" w:hAnsi="Arial" w:cs="Arial"/>
                <w:sz w:val="20"/>
              </w:rPr>
            </w:pPr>
            <w:r>
              <w:rPr>
                <w:rFonts w:ascii="Arial" w:hAnsi="Arial" w:cs="Arial"/>
                <w:sz w:val="20"/>
              </w:rPr>
              <w:t>71,52%</w:t>
            </w:r>
          </w:p>
        </w:tc>
      </w:tr>
      <w:tr>
        <w:trPr>
          <w:trHeight w:val="620"/>
        </w:trPr>
        <w:tc>
          <w:tcPr>
            <w:tcW w:w="1513"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Éveil</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79,4%</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76,4%</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79,8%</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78,39%</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77,64%</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78,62%</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79,25%</w:t>
            </w:r>
          </w:p>
        </w:tc>
        <w:tc>
          <w:tcPr>
            <w:tcW w:w="829"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74,66%</w:t>
            </w:r>
          </w:p>
        </w:tc>
        <w:tc>
          <w:tcPr>
            <w:tcW w:w="830" w:type="dxa"/>
            <w:tcMar>
              <w:top w:w="0" w:type="dxa"/>
              <w:left w:w="70" w:type="dxa"/>
              <w:bottom w:w="0" w:type="dxa"/>
              <w:right w:w="70" w:type="dxa"/>
            </w:tcMar>
            <w:vAlign w:val="center"/>
            <w:hideMark/>
          </w:tcPr>
          <w:p>
            <w:pPr>
              <w:spacing w:line="256" w:lineRule="auto"/>
              <w:jc w:val="center"/>
              <w:rPr>
                <w:rFonts w:ascii="Arial" w:hAnsi="Arial" w:cs="Arial"/>
                <w:sz w:val="20"/>
              </w:rPr>
            </w:pPr>
            <w:r>
              <w:rPr>
                <w:rFonts w:ascii="Arial" w:hAnsi="Arial" w:cs="Arial"/>
                <w:sz w:val="20"/>
              </w:rPr>
              <w:t>68,74%</w:t>
            </w:r>
          </w:p>
        </w:tc>
        <w:tc>
          <w:tcPr>
            <w:tcW w:w="829" w:type="dxa"/>
            <w:vAlign w:val="center"/>
            <w:hideMark/>
          </w:tcPr>
          <w:p>
            <w:pPr>
              <w:spacing w:line="256" w:lineRule="auto"/>
              <w:jc w:val="center"/>
              <w:rPr>
                <w:rFonts w:ascii="Arial" w:hAnsi="Arial" w:cs="Arial"/>
                <w:sz w:val="20"/>
              </w:rPr>
            </w:pPr>
            <w:r>
              <w:rPr>
                <w:rFonts w:ascii="Arial" w:hAnsi="Arial" w:cs="Arial"/>
                <w:sz w:val="20"/>
              </w:rPr>
              <w:t>76,18%</w:t>
            </w:r>
          </w:p>
        </w:tc>
        <w:tc>
          <w:tcPr>
            <w:tcW w:w="830" w:type="dxa"/>
            <w:vAlign w:val="center"/>
          </w:tcPr>
          <w:p>
            <w:pPr>
              <w:spacing w:line="256" w:lineRule="auto"/>
              <w:jc w:val="center"/>
              <w:rPr>
                <w:rFonts w:ascii="Arial" w:hAnsi="Arial" w:cs="Arial"/>
                <w:sz w:val="20"/>
              </w:rPr>
            </w:pPr>
            <w:r>
              <w:rPr>
                <w:rFonts w:ascii="Arial" w:hAnsi="Arial" w:cs="Arial"/>
                <w:sz w:val="20"/>
              </w:rPr>
              <w:t>76,06%</w:t>
            </w:r>
          </w:p>
        </w:tc>
      </w:tr>
    </w:tbl>
    <w:p>
      <w:pPr>
        <w:rPr>
          <w:rFonts w:ascii="Arial" w:hAnsi="Arial" w:cs="Arial"/>
        </w:rPr>
      </w:pPr>
    </w:p>
    <w:p>
      <w:pPr>
        <w:ind w:left="426" w:hanging="568"/>
        <w:jc w:val="both"/>
        <w:rPr>
          <w:rFonts w:ascii="Arial" w:hAnsi="Arial" w:cs="Arial"/>
        </w:rPr>
      </w:pPr>
      <w:r>
        <w:rPr>
          <w:rFonts w:ascii="Arial" w:hAnsi="Arial" w:cs="Arial"/>
        </w:rPr>
        <w:t xml:space="preserve">NB : Comme les années précédentes, les chiffres définitifs d’obtention du CEB, soit les résultats consolidés de l’épreuve comprenant les CEB octroyés sur décision des écoles après les recours, seront communiqués début septembre 2021 sur le portail </w:t>
      </w:r>
      <w:hyperlink r:id="rId11" w:history="1">
        <w:r>
          <w:rPr>
            <w:rStyle w:val="Lienhypertexte"/>
            <w:rFonts w:ascii="Arial" w:hAnsi="Arial" w:cs="Arial"/>
          </w:rPr>
          <w:t>enseignement.be</w:t>
        </w:r>
      </w:hyperlink>
      <w:r>
        <w:rPr>
          <w:rFonts w:ascii="Arial" w:hAnsi="Arial" w:cs="Arial"/>
        </w:rPr>
        <w:t>.</w:t>
      </w:r>
    </w:p>
    <w:p>
      <w:pPr>
        <w:ind w:left="720"/>
        <w:rPr>
          <w:rFonts w:ascii="Arial" w:hAnsi="Arial" w:cs="Arial"/>
        </w:rPr>
      </w:pPr>
    </w:p>
    <w:p>
      <w:pPr>
        <w:rPr>
          <w:rFonts w:ascii="Arial" w:hAnsi="Arial" w:cs="Arial"/>
        </w:rPr>
      </w:pPr>
    </w:p>
    <w:p>
      <w:pPr>
        <w:jc w:val="center"/>
        <w:rPr>
          <w:rFonts w:ascii="Arial" w:hAnsi="Arial" w:cs="Arial"/>
        </w:rPr>
      </w:pPr>
    </w:p>
    <w:sectPr>
      <w:footerReference w:type="default" r:id="rId1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jc w:val="right"/>
    </w:pPr>
    <w:r>
      <w:fldChar w:fldCharType="begin"/>
    </w:r>
    <w:r>
      <w:instrText>PAGE   \* MERGEFORMAT</w:instrText>
    </w:r>
    <w:r>
      <w:fldChar w:fldCharType="separate"/>
    </w:r>
    <w:r>
      <w:rPr>
        <w:noProof/>
      </w:rPr>
      <w:t>4</w:t>
    </w:r>
    <w:r>
      <w:fldChar w:fldCharType="end"/>
    </w:r>
  </w:p>
  <w:p>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4D5"/>
    <w:multiLevelType w:val="hybridMultilevel"/>
    <w:tmpl w:val="6250F7E4"/>
    <w:lvl w:ilvl="0" w:tplc="B342631A">
      <w:numFmt w:val="bullet"/>
      <w:lvlText w:val=""/>
      <w:lvlJc w:val="left"/>
      <w:pPr>
        <w:ind w:left="720" w:hanging="360"/>
      </w:pPr>
      <w:rPr>
        <w:rFonts w:ascii="SymbolMT" w:eastAsia="SymbolMT" w:hAnsi="Calibri" w:cs="SymbolMT" w:hint="eastAsi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718365B"/>
    <w:multiLevelType w:val="hybridMultilevel"/>
    <w:tmpl w:val="D9425ECA"/>
    <w:lvl w:ilvl="0" w:tplc="B342631A">
      <w:numFmt w:val="bullet"/>
      <w:lvlText w:val=""/>
      <w:lvlJc w:val="left"/>
      <w:pPr>
        <w:ind w:left="720" w:hanging="360"/>
      </w:pPr>
      <w:rPr>
        <w:rFonts w:ascii="SymbolMT" w:eastAsia="SymbolMT" w:hAnsi="Calibri" w:cs="SymbolMT" w:hint="eastAsi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A2078BB"/>
    <w:multiLevelType w:val="hybridMultilevel"/>
    <w:tmpl w:val="C786FE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E2210C4"/>
    <w:multiLevelType w:val="multilevel"/>
    <w:tmpl w:val="5E2210C4"/>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BD77B0"/>
    <w:multiLevelType w:val="hybridMultilevel"/>
    <w:tmpl w:val="E8DA70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4BA4C-BF8B-4409-8C7C-4FC9C564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iPriority="0"/>
    <w:lsdException w:name="annotation text" w:uiPriority="0"/>
    <w:lsdException w:name="head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semiHidden="1"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22"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link w:val="En-tte"/>
    <w:rPr>
      <w:sz w:val="24"/>
      <w:szCs w:val="24"/>
      <w:lang w:val="fr-FR" w:eastAsia="fr-FR"/>
    </w:rPr>
  </w:style>
  <w:style w:type="character" w:styleId="lev">
    <w:name w:val="Strong"/>
    <w:uiPriority w:val="22"/>
    <w:qFormat/>
    <w:rPr>
      <w:b/>
      <w:bCs/>
    </w:rPr>
  </w:style>
  <w:style w:type="character" w:customStyle="1" w:styleId="CommentaireCar">
    <w:name w:val="Commentaire Car"/>
    <w:link w:val="Commentaire"/>
    <w:rPr>
      <w:lang w:val="fr-FR" w:eastAsia="fr-FR"/>
    </w:rPr>
  </w:style>
  <w:style w:type="character" w:styleId="Lienhypertextesuivivisit">
    <w:name w:val="FollowedHyperlink"/>
    <w:rPr>
      <w:color w:val="800080"/>
      <w:u w:val="single"/>
    </w:rPr>
  </w:style>
  <w:style w:type="character" w:customStyle="1" w:styleId="ObjetducommentaireCar">
    <w:name w:val="Objet du commentaire Car"/>
    <w:link w:val="Objetducommentaire"/>
    <w:rPr>
      <w:b/>
      <w:bCs/>
      <w:lang w:val="fr-FR" w:eastAsia="fr-FR"/>
    </w:rPr>
  </w:style>
  <w:style w:type="character" w:customStyle="1" w:styleId="apple-converted-space">
    <w:name w:val="apple-converted-space"/>
  </w:style>
  <w:style w:type="character" w:styleId="Lienhypertexte">
    <w:name w:val="Hyperlink"/>
    <w:uiPriority w:val="99"/>
    <w:rPr>
      <w:color w:val="0000FF"/>
      <w:u w:val="single"/>
    </w:rPr>
  </w:style>
  <w:style w:type="character" w:styleId="Appelnotedebasdep">
    <w:name w:val="footnote reference"/>
    <w:semiHidden/>
    <w:rPr>
      <w:vertAlign w:val="superscript"/>
    </w:rPr>
  </w:style>
  <w:style w:type="character" w:customStyle="1" w:styleId="PieddepageCar">
    <w:name w:val="Pied de page Car"/>
    <w:link w:val="Pieddepage"/>
    <w:uiPriority w:val="99"/>
    <w:rPr>
      <w:sz w:val="24"/>
      <w:szCs w:val="24"/>
      <w:lang w:val="fr-FR" w:eastAsia="fr-FR"/>
    </w:rPr>
  </w:style>
  <w:style w:type="character" w:styleId="Marquedecommentaire">
    <w:name w:val="annotation reference"/>
    <w:rPr>
      <w:sz w:val="16"/>
      <w:szCs w:val="16"/>
    </w:rPr>
  </w:style>
  <w:style w:type="paragraph" w:styleId="Objetducommentaire">
    <w:name w:val="annotation subject"/>
    <w:basedOn w:val="Commentaire"/>
    <w:next w:val="Commentaire"/>
    <w:link w:val="ObjetducommentaireCar"/>
    <w:rPr>
      <w:b/>
      <w:bCs/>
    </w:rPr>
  </w:style>
  <w:style w:type="paragraph" w:styleId="NormalWeb">
    <w:name w:val="Normal (Web)"/>
    <w:basedOn w:val="Normal"/>
    <w:uiPriority w:val="99"/>
    <w:pPr>
      <w:spacing w:before="100" w:beforeAutospacing="1" w:after="100" w:afterAutospacing="1"/>
    </w:pPr>
  </w:style>
  <w:style w:type="paragraph" w:styleId="Textedebulles">
    <w:name w:val="Balloon Text"/>
    <w:basedOn w:val="Normal"/>
    <w:semiHidden/>
    <w:rPr>
      <w:rFonts w:ascii="Tahoma" w:hAnsi="Tahoma" w:cs="Tahoma"/>
      <w:sz w:val="16"/>
      <w:szCs w:val="16"/>
    </w:rPr>
  </w:style>
  <w:style w:type="paragraph" w:styleId="En-tte">
    <w:name w:val="header"/>
    <w:basedOn w:val="Normal"/>
    <w:link w:val="En-tteCar"/>
    <w:pPr>
      <w:tabs>
        <w:tab w:val="center" w:pos="4536"/>
        <w:tab w:val="right" w:pos="9072"/>
      </w:tabs>
    </w:pPr>
  </w:style>
  <w:style w:type="paragraph" w:styleId="Notedebasdepage">
    <w:name w:val="footnote text"/>
    <w:basedOn w:val="Normal"/>
    <w:semiHidden/>
    <w:rPr>
      <w:rFonts w:ascii="Verdana" w:hAnsi="Verdana"/>
      <w:sz w:val="20"/>
      <w:szCs w:val="20"/>
    </w:rPr>
  </w:style>
  <w:style w:type="paragraph" w:styleId="Pieddepage">
    <w:name w:val="footer"/>
    <w:basedOn w:val="Normal"/>
    <w:link w:val="PieddepageCar"/>
    <w:uiPriority w:val="99"/>
    <w:pPr>
      <w:tabs>
        <w:tab w:val="center" w:pos="4536"/>
        <w:tab w:val="right" w:pos="9072"/>
      </w:tabs>
    </w:pPr>
  </w:style>
  <w:style w:type="paragraph" w:styleId="Commentaire">
    <w:name w:val="annotation text"/>
    <w:basedOn w:val="Normal"/>
    <w:link w:val="CommentaireCar"/>
    <w:rPr>
      <w:sz w:val="20"/>
      <w:szCs w:val="20"/>
    </w:rPr>
  </w:style>
  <w:style w:type="paragraph" w:styleId="Paragraphedeliste">
    <w:name w:val="List Paragraph"/>
    <w:basedOn w:val="Normal"/>
    <w:uiPriority w:val="34"/>
    <w:qFormat/>
    <w:pPr>
      <w:ind w:left="720"/>
    </w:pPr>
    <w:rPr>
      <w:rFonts w:ascii="Calibri" w:eastAsia="Calibri" w:hAnsi="Calibri" w:cs="Calibri"/>
      <w:sz w:val="22"/>
      <w:szCs w:val="22"/>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253613">
      <w:bodyDiv w:val="1"/>
      <w:marLeft w:val="0"/>
      <w:marRight w:val="0"/>
      <w:marTop w:val="0"/>
      <w:marBottom w:val="0"/>
      <w:divBdr>
        <w:top w:val="none" w:sz="0" w:space="0" w:color="auto"/>
        <w:left w:val="none" w:sz="0" w:space="0" w:color="auto"/>
        <w:bottom w:val="none" w:sz="0" w:space="0" w:color="auto"/>
        <w:right w:val="none" w:sz="0" w:space="0" w:color="auto"/>
      </w:divBdr>
    </w:div>
    <w:div w:id="800534003">
      <w:bodyDiv w:val="1"/>
      <w:marLeft w:val="0"/>
      <w:marRight w:val="0"/>
      <w:marTop w:val="0"/>
      <w:marBottom w:val="0"/>
      <w:divBdr>
        <w:top w:val="none" w:sz="0" w:space="0" w:color="auto"/>
        <w:left w:val="none" w:sz="0" w:space="0" w:color="auto"/>
        <w:bottom w:val="none" w:sz="0" w:space="0" w:color="auto"/>
        <w:right w:val="none" w:sz="0" w:space="0" w:color="auto"/>
      </w:divBdr>
    </w:div>
    <w:div w:id="987975173">
      <w:bodyDiv w:val="1"/>
      <w:marLeft w:val="0"/>
      <w:marRight w:val="0"/>
      <w:marTop w:val="0"/>
      <w:marBottom w:val="0"/>
      <w:divBdr>
        <w:top w:val="none" w:sz="0" w:space="0" w:color="auto"/>
        <w:left w:val="none" w:sz="0" w:space="0" w:color="auto"/>
        <w:bottom w:val="none" w:sz="0" w:space="0" w:color="auto"/>
        <w:right w:val="none" w:sz="0" w:space="0" w:color="auto"/>
      </w:divBdr>
    </w:div>
    <w:div w:id="1139877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enseignement.be/CE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seignement.be/" TargetMode="External"/><Relationship Id="rId5" Type="http://schemas.openxmlformats.org/officeDocument/2006/relationships/footnotes" Target="footnotes.xml"/><Relationship Id="rId10" Type="http://schemas.openxmlformats.org/officeDocument/2006/relationships/hyperlink" Target="mailto:age.presse@cfwb.be" TargetMode="External"/><Relationship Id="rId4" Type="http://schemas.openxmlformats.org/officeDocument/2006/relationships/webSettings" Target="webSettings.xml"/><Relationship Id="rId9" Type="http://schemas.openxmlformats.org/officeDocument/2006/relationships/hyperlink" Target="http://www.enseignement.be/CEB"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1414</Words>
  <Characters>7883</Characters>
  <Application>Microsoft Office Word</Application>
  <DocSecurity>0</DocSecurity>
  <PresentationFormat/>
  <Lines>65</Lines>
  <Paragraphs>18</Paragraphs>
  <Slides>0</Slides>
  <Notes>0</Notes>
  <HiddenSlides>0</HiddenSlides>
  <MMClips>0</MMClips>
  <ScaleCrop>false</ScaleCrop>
  <HeadingPairs>
    <vt:vector size="2" baseType="variant">
      <vt:variant>
        <vt:lpstr>Titre</vt:lpstr>
      </vt:variant>
      <vt:variant>
        <vt:i4>1</vt:i4>
      </vt:variant>
    </vt:vector>
  </HeadingPairs>
  <TitlesOfParts>
    <vt:vector size="1" baseType="lpstr">
      <vt:lpstr>Ministère de la Fédération Wallonie-Bruxelles</vt:lpstr>
    </vt:vector>
  </TitlesOfParts>
  <Manager/>
  <Company>ETNIC</Company>
  <LinksUpToDate>false</LinksUpToDate>
  <CharactersWithSpaces>9279</CharactersWithSpaces>
  <SharedDoc>false</SharedDoc>
  <HLinks>
    <vt:vector size="24" baseType="variant">
      <vt:variant>
        <vt:i4>7471146</vt:i4>
      </vt:variant>
      <vt:variant>
        <vt:i4>9</vt:i4>
      </vt:variant>
      <vt:variant>
        <vt:i4>0</vt:i4>
      </vt:variant>
      <vt:variant>
        <vt:i4>5</vt:i4>
      </vt:variant>
      <vt:variant>
        <vt:lpwstr>http://www.enseignement.be/</vt:lpwstr>
      </vt:variant>
      <vt:variant>
        <vt:lpwstr/>
      </vt:variant>
      <vt:variant>
        <vt:i4>2490461</vt:i4>
      </vt:variant>
      <vt:variant>
        <vt:i4>6</vt:i4>
      </vt:variant>
      <vt:variant>
        <vt:i4>0</vt:i4>
      </vt:variant>
      <vt:variant>
        <vt:i4>5</vt:i4>
      </vt:variant>
      <vt:variant>
        <vt:lpwstr>mailto:age.presse@cfwb.be</vt:lpwstr>
      </vt:variant>
      <vt:variant>
        <vt:lpwstr/>
      </vt:variant>
      <vt:variant>
        <vt:i4>7536736</vt:i4>
      </vt:variant>
      <vt:variant>
        <vt:i4>3</vt:i4>
      </vt:variant>
      <vt:variant>
        <vt:i4>0</vt:i4>
      </vt:variant>
      <vt:variant>
        <vt:i4>5</vt:i4>
      </vt:variant>
      <vt:variant>
        <vt:lpwstr>http://www.enseignement.be/CEB</vt:lpwstr>
      </vt:variant>
      <vt:variant>
        <vt:lpwstr/>
      </vt:variant>
      <vt:variant>
        <vt:i4>7536736</vt:i4>
      </vt:variant>
      <vt:variant>
        <vt:i4>0</vt:i4>
      </vt:variant>
      <vt:variant>
        <vt:i4>0</vt:i4>
      </vt:variant>
      <vt:variant>
        <vt:i4>5</vt:i4>
      </vt:variant>
      <vt:variant>
        <vt:lpwstr>http://www.enseignement.be/CEB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Ministère de la Fédération Wallonie-Bruxelles</dc:title>
  <dc:subject/>
  <dc:creator>Windows User</dc:creator>
  <cp:keywords/>
  <dc:description/>
  <cp:lastModifiedBy>VIENNE Iris</cp:lastModifiedBy>
  <cp:revision>9</cp:revision>
  <cp:lastPrinted>2021-06-26T11:36:00Z</cp:lastPrinted>
  <dcterms:created xsi:type="dcterms:W3CDTF">2021-06-28T09:33:00Z</dcterms:created>
  <dcterms:modified xsi:type="dcterms:W3CDTF">2021-06-28T10:25:00Z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1036-10.1.0.5644</vt:lpwstr>
  </property>
</Properties>
</file>